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lang w:eastAsia="zh-CN"/>
        </w:rPr>
        <w:t>云南能投联合外经股份有限</w:t>
      </w:r>
      <w:r>
        <w:rPr>
          <w:rFonts w:hint="eastAsia" w:ascii="黑体" w:hAnsi="黑体" w:eastAsia="黑体" w:cs="黑体"/>
          <w:sz w:val="44"/>
          <w:szCs w:val="44"/>
        </w:rPr>
        <w:t>公司</w:t>
      </w:r>
    </w:p>
    <w:p>
      <w:pPr>
        <w:jc w:val="center"/>
        <w:rPr>
          <w:rFonts w:ascii="黑体" w:hAnsi="黑体" w:eastAsia="黑体" w:cs="黑体"/>
          <w:sz w:val="44"/>
          <w:szCs w:val="44"/>
        </w:rPr>
      </w:pPr>
      <w:r>
        <w:rPr>
          <w:rFonts w:hint="eastAsia" w:ascii="黑体" w:hAnsi="黑体" w:eastAsia="黑体" w:cs="黑体"/>
          <w:sz w:val="44"/>
          <w:szCs w:val="44"/>
        </w:rPr>
        <w:t>工程专项审计服务</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黑体" w:hAnsi="黑体" w:eastAsia="黑体" w:cs="黑体"/>
          <w:sz w:val="84"/>
          <w:szCs w:val="84"/>
        </w:rPr>
      </w:pPr>
      <w:r>
        <w:rPr>
          <w:rFonts w:hint="eastAsia" w:ascii="黑体" w:hAnsi="黑体" w:eastAsia="黑体" w:cs="黑体"/>
          <w:sz w:val="72"/>
          <w:szCs w:val="72"/>
        </w:rPr>
        <w:t>竞争性谈判文件</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竞谈人：</w:t>
      </w:r>
      <w:r>
        <w:rPr>
          <w:rFonts w:hint="eastAsia" w:ascii="仿宋_GB2312" w:hAnsi="仿宋_GB2312" w:eastAsia="仿宋_GB2312" w:cs="仿宋_GB2312"/>
          <w:sz w:val="32"/>
          <w:szCs w:val="32"/>
          <w:lang w:eastAsia="zh-CN"/>
        </w:rPr>
        <w:t>云南能投联合外经股份有限</w:t>
      </w:r>
      <w:r>
        <w:rPr>
          <w:rFonts w:hint="eastAsia" w:ascii="仿宋_GB2312" w:hAnsi="仿宋_GB2312" w:eastAsia="仿宋_GB2312" w:cs="仿宋_GB2312"/>
          <w:sz w:val="32"/>
          <w:szCs w:val="32"/>
        </w:rPr>
        <w:t>公司</w:t>
      </w:r>
    </w:p>
    <w:p>
      <w:pPr>
        <w:jc w:val="cente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日  期：二〇二三年三月</w:t>
      </w:r>
    </w:p>
    <w:p>
      <w:pPr>
        <w:widowControl/>
        <w:spacing w:after="312"/>
        <w:rPr>
          <w:rFonts w:ascii="黑体" w:hAnsi="黑体" w:eastAsia="黑体" w:cs="黑体"/>
          <w:b/>
          <w:sz w:val="28"/>
          <w:szCs w:val="28"/>
        </w:rPr>
      </w:pPr>
      <w:bookmarkStart w:id="0" w:name="_Toc4979_WPSOffice_Level1"/>
    </w:p>
    <w:p>
      <w:pPr>
        <w:widowControl/>
        <w:spacing w:after="312"/>
        <w:ind w:firstLine="2999" w:firstLineChars="1067"/>
        <w:rPr>
          <w:rFonts w:ascii="黑体" w:hAnsi="黑体" w:eastAsia="黑体" w:cs="黑体"/>
          <w:b/>
          <w:color w:val="FF0000"/>
          <w:sz w:val="28"/>
          <w:szCs w:val="28"/>
        </w:rPr>
      </w:pPr>
      <w:r>
        <w:rPr>
          <w:rFonts w:hint="eastAsia" w:ascii="黑体" w:hAnsi="黑体" w:eastAsia="黑体" w:cs="黑体"/>
          <w:b/>
          <w:sz w:val="28"/>
          <w:szCs w:val="28"/>
        </w:rPr>
        <w:t>第一章 谈判邀请书</w:t>
      </w:r>
      <w:bookmarkEnd w:id="0"/>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lang w:eastAsia="zh-CN"/>
        </w:rPr>
        <w:t>云南能投联合外经股份有限</w:t>
      </w:r>
      <w:r>
        <w:rPr>
          <w:rFonts w:hint="eastAsia" w:ascii="仿宋_GB2312" w:eastAsia="仿宋_GB2312"/>
          <w:sz w:val="24"/>
        </w:rPr>
        <w:t>公司（以下简称“</w:t>
      </w:r>
      <w:r>
        <w:rPr>
          <w:rFonts w:hint="eastAsia" w:ascii="仿宋_GB2312" w:eastAsia="仿宋_GB2312"/>
          <w:sz w:val="24"/>
          <w:lang w:eastAsia="zh-CN"/>
        </w:rPr>
        <w:t>联合外经公司</w:t>
      </w:r>
      <w:r>
        <w:rPr>
          <w:rFonts w:hint="eastAsia" w:ascii="仿宋_GB2312" w:eastAsia="仿宋_GB2312"/>
          <w:sz w:val="24"/>
        </w:rPr>
        <w:t>”或“竞谈人”）拟通过竞争性谈判方式对我公司工程专项审计审计服务项目进行采购，现诚邀贵公司（以下简称：申请人）参加项目谈判。</w:t>
      </w:r>
    </w:p>
    <w:p>
      <w:pPr>
        <w:spacing w:line="360" w:lineRule="exact"/>
        <w:ind w:firstLine="482" w:firstLineChars="200"/>
        <w:rPr>
          <w:rFonts w:ascii="仿宋_GB2312" w:eastAsia="仿宋_GB2312"/>
          <w:b/>
          <w:sz w:val="24"/>
        </w:rPr>
      </w:pPr>
      <w:r>
        <w:rPr>
          <w:rFonts w:hint="eastAsia" w:ascii="仿宋_GB2312" w:eastAsia="仿宋_GB2312"/>
          <w:b/>
          <w:sz w:val="24"/>
        </w:rPr>
        <w:t>一、项目名称及服务要求</w:t>
      </w:r>
    </w:p>
    <w:p>
      <w:pPr>
        <w:spacing w:line="360" w:lineRule="exact"/>
        <w:ind w:firstLine="482" w:firstLineChars="200"/>
        <w:rPr>
          <w:rFonts w:ascii="仿宋_GB2312" w:eastAsia="仿宋_GB2312"/>
          <w:sz w:val="24"/>
        </w:rPr>
      </w:pPr>
      <w:r>
        <w:rPr>
          <w:rFonts w:ascii="仿宋_GB2312" w:eastAsia="仿宋_GB2312"/>
          <w:b/>
          <w:sz w:val="24"/>
        </w:rPr>
        <w:t>1.</w:t>
      </w:r>
      <w:r>
        <w:rPr>
          <w:rFonts w:hint="eastAsia" w:ascii="仿宋_GB2312" w:eastAsia="仿宋_GB2312"/>
          <w:b/>
          <w:sz w:val="24"/>
        </w:rPr>
        <w:t>项目名称：</w:t>
      </w:r>
      <w:r>
        <w:rPr>
          <w:rFonts w:hint="eastAsia" w:ascii="仿宋_GB2312" w:eastAsia="仿宋_GB2312"/>
          <w:sz w:val="24"/>
        </w:rPr>
        <w:t>公司工程专项审计服务</w:t>
      </w:r>
    </w:p>
    <w:p>
      <w:pPr>
        <w:spacing w:line="360" w:lineRule="exact"/>
        <w:ind w:firstLine="482" w:firstLineChars="200"/>
        <w:rPr>
          <w:rFonts w:ascii="仿宋_GB2312" w:eastAsia="仿宋_GB2312"/>
          <w:sz w:val="24"/>
        </w:rPr>
      </w:pPr>
      <w:r>
        <w:rPr>
          <w:rFonts w:ascii="仿宋_GB2312" w:eastAsia="仿宋_GB2312"/>
          <w:b/>
          <w:sz w:val="24"/>
        </w:rPr>
        <w:t>2.</w:t>
      </w:r>
      <w:r>
        <w:rPr>
          <w:rFonts w:hint="eastAsia" w:ascii="仿宋_GB2312" w:eastAsia="仿宋_GB2312"/>
          <w:b/>
          <w:sz w:val="24"/>
        </w:rPr>
        <w:t>服务内容及要求：</w:t>
      </w:r>
      <w:r>
        <w:rPr>
          <w:rFonts w:hint="eastAsia" w:ascii="仿宋_GB2312" w:eastAsia="仿宋_GB2312"/>
          <w:sz w:val="24"/>
        </w:rPr>
        <w:t>详见竞争性谈判文件第三章</w:t>
      </w:r>
    </w:p>
    <w:p>
      <w:pPr>
        <w:spacing w:line="360" w:lineRule="exact"/>
        <w:ind w:firstLine="482" w:firstLineChars="200"/>
        <w:rPr>
          <w:rFonts w:ascii="仿宋_GB2312" w:eastAsia="仿宋_GB2312"/>
          <w:b/>
          <w:sz w:val="24"/>
        </w:rPr>
      </w:pPr>
      <w:r>
        <w:rPr>
          <w:rFonts w:hint="eastAsia" w:ascii="仿宋_GB2312" w:eastAsia="仿宋_GB2312"/>
          <w:b/>
          <w:sz w:val="24"/>
        </w:rPr>
        <w:t>二、申请人资格要求</w:t>
      </w:r>
    </w:p>
    <w:p>
      <w:pPr>
        <w:spacing w:line="360" w:lineRule="exact"/>
        <w:ind w:firstLine="480" w:firstLineChars="200"/>
        <w:rPr>
          <w:rFonts w:ascii="仿宋_GB2312" w:eastAsia="仿宋_GB2312"/>
          <w:sz w:val="24"/>
        </w:rPr>
      </w:pPr>
      <w:r>
        <w:rPr>
          <w:rFonts w:hint="eastAsia" w:ascii="仿宋_GB2312" w:eastAsia="仿宋_GB2312"/>
          <w:sz w:val="24"/>
        </w:rPr>
        <w:t>1.投标人为中华人民共和国境内合法注册的独立企业法人或其他组织或其他组织分支机构，具有独立订立合同的权利，提供有效的营业执照。在专业技术、人员组织、设备、资金等方面具有相应完成本项目的服务能力。</w:t>
      </w:r>
    </w:p>
    <w:p>
      <w:pPr>
        <w:spacing w:line="360" w:lineRule="exact"/>
        <w:ind w:firstLine="480" w:firstLineChars="200"/>
        <w:rPr>
          <w:rFonts w:ascii="仿宋_GB2312" w:eastAsia="仿宋_GB2312"/>
          <w:sz w:val="24"/>
        </w:rPr>
      </w:pPr>
      <w:r>
        <w:rPr>
          <w:rFonts w:hint="eastAsia" w:ascii="仿宋_GB2312" w:eastAsia="仿宋_GB2312"/>
          <w:sz w:val="24"/>
        </w:rPr>
        <w:t>2.最近三年（2019年以来）提供过跟踪审计或财务管理审计或财务决算审计等审计服务工作（至少提供一项审计工作业绩）。</w:t>
      </w:r>
    </w:p>
    <w:p>
      <w:pPr>
        <w:spacing w:line="360" w:lineRule="exact"/>
        <w:ind w:firstLine="480" w:firstLineChars="200"/>
        <w:rPr>
          <w:rFonts w:ascii="仿宋_GB2312" w:eastAsia="仿宋_GB2312"/>
          <w:sz w:val="24"/>
        </w:rPr>
      </w:pPr>
      <w:r>
        <w:rPr>
          <w:rFonts w:hint="eastAsia" w:ascii="仿宋_GB2312" w:eastAsia="仿宋_GB2312"/>
          <w:sz w:val="24"/>
        </w:rPr>
        <w:t>3.申请人财务状况良好，需提供近三年2019年、2020年、2021年财务报表或审计报告（财务资料须包括：资产负债表、利润表、现金流量表）</w:t>
      </w:r>
    </w:p>
    <w:p>
      <w:pPr>
        <w:spacing w:line="360" w:lineRule="exact"/>
        <w:ind w:firstLine="480" w:firstLineChars="200"/>
        <w:rPr>
          <w:rFonts w:ascii="仿宋_GB2312" w:eastAsia="仿宋_GB2312"/>
          <w:sz w:val="24"/>
        </w:rPr>
      </w:pPr>
      <w:r>
        <w:rPr>
          <w:rFonts w:hint="eastAsia" w:ascii="仿宋_GB2312" w:eastAsia="仿宋_GB2312"/>
          <w:sz w:val="24"/>
        </w:rPr>
        <w:t>4.不得存在下列情形：处于被责令停业或破产状态的； 被暂停或取消谈判资格的；在最近三年内有骗取中标或者严重违约的；有重大未决诉讼及仲裁情况的。</w:t>
      </w:r>
    </w:p>
    <w:p>
      <w:pPr>
        <w:spacing w:line="360" w:lineRule="exact"/>
        <w:ind w:firstLine="480" w:firstLineChars="200"/>
        <w:rPr>
          <w:rFonts w:ascii="仿宋_GB2312" w:eastAsia="仿宋_GB2312"/>
          <w:sz w:val="24"/>
        </w:rPr>
      </w:pPr>
      <w:r>
        <w:rPr>
          <w:rFonts w:hint="eastAsia" w:ascii="仿宋_GB2312" w:eastAsia="仿宋_GB2312"/>
          <w:sz w:val="24"/>
        </w:rPr>
        <w:t>5.本项目不接受联合体。</w:t>
      </w:r>
    </w:p>
    <w:p>
      <w:pPr>
        <w:spacing w:line="360" w:lineRule="exact"/>
        <w:ind w:firstLine="482" w:firstLineChars="200"/>
        <w:rPr>
          <w:rFonts w:ascii="仿宋_GB2312" w:eastAsia="仿宋_GB2312"/>
          <w:b/>
          <w:sz w:val="24"/>
        </w:rPr>
      </w:pPr>
      <w:r>
        <w:rPr>
          <w:rFonts w:hint="eastAsia" w:ascii="仿宋_GB2312" w:eastAsia="仿宋_GB2312"/>
          <w:b/>
          <w:sz w:val="24"/>
        </w:rPr>
        <w:t>三、竞争性谈判文件的获取</w:t>
      </w:r>
    </w:p>
    <w:p>
      <w:pPr>
        <w:spacing w:line="360" w:lineRule="exact"/>
        <w:ind w:firstLine="480" w:firstLineChars="200"/>
        <w:rPr>
          <w:rFonts w:ascii="仿宋_GB2312" w:eastAsia="仿宋_GB2312"/>
          <w:sz w:val="24"/>
        </w:rPr>
      </w:pPr>
      <w:r>
        <w:rPr>
          <w:rFonts w:hint="eastAsia" w:ascii="仿宋_GB2312" w:eastAsia="仿宋_GB2312"/>
          <w:sz w:val="24"/>
        </w:rPr>
        <w:t>竞争性谈判文件由竞谈人采用邮件的形式发送给竞争性谈判申请人。</w:t>
      </w:r>
    </w:p>
    <w:p>
      <w:pPr>
        <w:spacing w:line="360" w:lineRule="exact"/>
        <w:ind w:firstLine="482" w:firstLineChars="200"/>
        <w:rPr>
          <w:rFonts w:ascii="仿宋_GB2312" w:eastAsia="仿宋_GB2312"/>
          <w:b/>
          <w:sz w:val="24"/>
        </w:rPr>
      </w:pPr>
      <w:r>
        <w:rPr>
          <w:rFonts w:hint="eastAsia" w:ascii="仿宋_GB2312" w:eastAsia="仿宋_GB2312"/>
          <w:b/>
          <w:sz w:val="24"/>
        </w:rPr>
        <w:t>四、响应文件的编制</w:t>
      </w:r>
    </w:p>
    <w:p>
      <w:pPr>
        <w:spacing w:line="360" w:lineRule="exact"/>
        <w:ind w:firstLine="480" w:firstLineChars="200"/>
        <w:rPr>
          <w:rFonts w:ascii="仿宋_GB2312" w:eastAsia="仿宋_GB2312"/>
          <w:sz w:val="24"/>
        </w:rPr>
      </w:pPr>
      <w:r>
        <w:rPr>
          <w:rFonts w:hint="eastAsia" w:ascii="仿宋_GB2312" w:eastAsia="仿宋_GB2312"/>
          <w:sz w:val="24"/>
        </w:rPr>
        <w:t>所有响应文件应用汉语编制，</w:t>
      </w:r>
      <w:r>
        <w:rPr>
          <w:rFonts w:hint="eastAsia" w:ascii="仿宋_GB2312" w:eastAsia="仿宋_GB2312"/>
          <w:b/>
          <w:bCs/>
          <w:sz w:val="24"/>
        </w:rPr>
        <w:t>一份</w:t>
      </w:r>
      <w:r>
        <w:rPr>
          <w:rFonts w:hint="eastAsia" w:ascii="仿宋_GB2312" w:eastAsia="仿宋_GB2312"/>
          <w:sz w:val="24"/>
        </w:rPr>
        <w:t>正本，一</w:t>
      </w:r>
      <w:r>
        <w:rPr>
          <w:rFonts w:hint="eastAsia" w:ascii="仿宋_GB2312" w:eastAsia="仿宋_GB2312"/>
          <w:b/>
          <w:bCs/>
          <w:sz w:val="24"/>
        </w:rPr>
        <w:t>份</w:t>
      </w:r>
      <w:r>
        <w:rPr>
          <w:rFonts w:hint="eastAsia" w:ascii="仿宋_GB2312" w:eastAsia="仿宋_GB2312"/>
          <w:sz w:val="24"/>
        </w:rPr>
        <w:t>副本，电子响应文件</w:t>
      </w:r>
      <w:r>
        <w:rPr>
          <w:rFonts w:hint="eastAsia" w:ascii="仿宋_GB2312" w:eastAsia="仿宋_GB2312"/>
          <w:b/>
          <w:bCs/>
          <w:sz w:val="24"/>
        </w:rPr>
        <w:t>一份</w:t>
      </w:r>
      <w:r>
        <w:rPr>
          <w:rFonts w:hint="eastAsia" w:ascii="仿宋_GB2312" w:eastAsia="仿宋_GB2312"/>
          <w:sz w:val="24"/>
        </w:rPr>
        <w:t>（</w:t>
      </w:r>
      <w:r>
        <w:rPr>
          <w:rFonts w:ascii="仿宋_GB2312" w:eastAsia="仿宋_GB2312"/>
          <w:sz w:val="24"/>
        </w:rPr>
        <w:t>U</w:t>
      </w:r>
      <w:r>
        <w:rPr>
          <w:rFonts w:hint="eastAsia" w:ascii="仿宋_GB2312" w:eastAsia="仿宋_GB2312"/>
          <w:sz w:val="24"/>
        </w:rPr>
        <w:t>盘）（其中包含：</w:t>
      </w:r>
      <w:r>
        <w:rPr>
          <w:rFonts w:ascii="仿宋_GB2312" w:eastAsia="仿宋_GB2312"/>
          <w:sz w:val="24"/>
        </w:rPr>
        <w:t>Word</w:t>
      </w:r>
      <w:r>
        <w:rPr>
          <w:rFonts w:hint="eastAsia" w:ascii="仿宋_GB2312" w:eastAsia="仿宋_GB2312"/>
          <w:sz w:val="24"/>
        </w:rPr>
        <w:t>格式一份；报价文件签字盖章后所有内容彩色扫描为</w:t>
      </w:r>
      <w:r>
        <w:rPr>
          <w:rFonts w:ascii="仿宋_GB2312" w:eastAsia="仿宋_GB2312"/>
          <w:sz w:val="24"/>
        </w:rPr>
        <w:t>PDF</w:t>
      </w:r>
      <w:r>
        <w:rPr>
          <w:rFonts w:hint="eastAsia" w:ascii="仿宋_GB2312" w:eastAsia="仿宋_GB2312"/>
          <w:sz w:val="24"/>
        </w:rPr>
        <w:t>格式一份）。</w:t>
      </w:r>
    </w:p>
    <w:p>
      <w:pPr>
        <w:spacing w:line="360" w:lineRule="exact"/>
        <w:ind w:firstLine="482" w:firstLineChars="200"/>
        <w:rPr>
          <w:rFonts w:ascii="仿宋_GB2312" w:eastAsia="仿宋_GB2312"/>
          <w:b/>
          <w:sz w:val="24"/>
        </w:rPr>
      </w:pPr>
      <w:r>
        <w:rPr>
          <w:rFonts w:hint="eastAsia" w:ascii="仿宋_GB2312" w:eastAsia="仿宋_GB2312"/>
          <w:b/>
          <w:sz w:val="24"/>
        </w:rPr>
        <w:t>五、响应文件的递交</w:t>
      </w:r>
    </w:p>
    <w:p>
      <w:pPr>
        <w:spacing w:line="360" w:lineRule="exact"/>
        <w:ind w:firstLine="480" w:firstLineChars="200"/>
        <w:rPr>
          <w:rFonts w:ascii="仿宋_GB2312" w:eastAsia="仿宋_GB2312"/>
          <w:color w:val="FF0000"/>
          <w:sz w:val="24"/>
          <w:highlight w:val="yellow"/>
        </w:rPr>
      </w:pPr>
      <w:r>
        <w:rPr>
          <w:rFonts w:hint="eastAsia" w:ascii="仿宋_GB2312" w:eastAsia="仿宋_GB2312"/>
          <w:sz w:val="24"/>
        </w:rPr>
        <w:t>1.递交截止时间：</w:t>
      </w:r>
      <w:r>
        <w:rPr>
          <w:rFonts w:ascii="仿宋_GB2312" w:eastAsia="仿宋_GB2312"/>
          <w:b/>
          <w:bCs/>
          <w:sz w:val="24"/>
          <w:highlight w:val="yellow"/>
        </w:rPr>
        <w:t>202</w:t>
      </w:r>
      <w:r>
        <w:rPr>
          <w:rFonts w:hint="eastAsia" w:ascii="仿宋_GB2312" w:eastAsia="仿宋_GB2312"/>
          <w:b/>
          <w:bCs/>
          <w:sz w:val="24"/>
          <w:highlight w:val="yellow"/>
          <w:lang w:val="en-US" w:eastAsia="zh-CN"/>
        </w:rPr>
        <w:t>3</w:t>
      </w:r>
      <w:r>
        <w:rPr>
          <w:rFonts w:hint="eastAsia" w:ascii="仿宋_GB2312" w:eastAsia="仿宋_GB2312"/>
          <w:b/>
          <w:bCs/>
          <w:sz w:val="24"/>
          <w:highlight w:val="yellow"/>
        </w:rPr>
        <w:t>年</w:t>
      </w:r>
      <w:r>
        <w:rPr>
          <w:rFonts w:ascii="仿宋_GB2312" w:eastAsia="仿宋_GB2312"/>
          <w:b/>
          <w:bCs/>
          <w:sz w:val="24"/>
          <w:highlight w:val="yellow"/>
          <w:u w:val="single"/>
        </w:rPr>
        <w:t xml:space="preserve"> </w:t>
      </w:r>
      <w:r>
        <w:rPr>
          <w:rFonts w:hint="eastAsia" w:ascii="仿宋_GB2312" w:eastAsia="仿宋_GB2312"/>
          <w:b/>
          <w:bCs/>
          <w:sz w:val="24"/>
          <w:highlight w:val="yellow"/>
          <w:u w:val="single"/>
          <w:lang w:val="en-US" w:eastAsia="zh-CN"/>
        </w:rPr>
        <w:t>3</w:t>
      </w:r>
      <w:r>
        <w:rPr>
          <w:rFonts w:hint="eastAsia" w:ascii="仿宋_GB2312" w:eastAsia="仿宋_GB2312"/>
          <w:b/>
          <w:bCs/>
          <w:sz w:val="24"/>
          <w:highlight w:val="yellow"/>
        </w:rPr>
        <w:t>月</w:t>
      </w:r>
      <w:r>
        <w:rPr>
          <w:rFonts w:ascii="仿宋_GB2312" w:eastAsia="仿宋_GB2312"/>
          <w:b/>
          <w:bCs/>
          <w:sz w:val="24"/>
          <w:highlight w:val="yellow"/>
          <w:u w:val="single"/>
        </w:rPr>
        <w:t xml:space="preserve"> </w:t>
      </w:r>
      <w:r>
        <w:rPr>
          <w:rFonts w:hint="eastAsia" w:ascii="仿宋_GB2312" w:eastAsia="仿宋_GB2312"/>
          <w:b/>
          <w:bCs/>
          <w:sz w:val="24"/>
          <w:highlight w:val="yellow"/>
          <w:u w:val="single"/>
          <w:lang w:val="en-US" w:eastAsia="zh-CN"/>
        </w:rPr>
        <w:t>30</w:t>
      </w:r>
      <w:r>
        <w:rPr>
          <w:rFonts w:hint="eastAsia" w:ascii="仿宋_GB2312" w:eastAsia="仿宋_GB2312"/>
          <w:b/>
          <w:bCs/>
          <w:sz w:val="24"/>
          <w:highlight w:val="yellow"/>
        </w:rPr>
        <w:t>日下午</w:t>
      </w:r>
      <w:r>
        <w:rPr>
          <w:rFonts w:ascii="仿宋_GB2312" w:eastAsia="仿宋_GB2312"/>
          <w:b/>
          <w:bCs/>
          <w:sz w:val="24"/>
          <w:highlight w:val="yellow"/>
          <w:u w:val="single"/>
        </w:rPr>
        <w:t xml:space="preserve"> </w:t>
      </w:r>
      <w:r>
        <w:rPr>
          <w:rFonts w:hint="eastAsia" w:ascii="仿宋_GB2312" w:eastAsia="仿宋_GB2312"/>
          <w:b/>
          <w:bCs/>
          <w:sz w:val="24"/>
          <w:highlight w:val="yellow"/>
          <w:u w:val="single"/>
          <w:lang w:val="en-US" w:eastAsia="zh-CN"/>
        </w:rPr>
        <w:t>16</w:t>
      </w:r>
      <w:r>
        <w:rPr>
          <w:rFonts w:ascii="仿宋_GB2312" w:eastAsia="仿宋_GB2312"/>
          <w:b/>
          <w:bCs/>
          <w:sz w:val="24"/>
          <w:highlight w:val="yellow"/>
          <w:u w:val="single"/>
        </w:rPr>
        <w:t xml:space="preserve"> </w:t>
      </w:r>
      <w:r>
        <w:rPr>
          <w:rFonts w:hint="eastAsia" w:ascii="仿宋_GB2312" w:eastAsia="仿宋_GB2312"/>
          <w:b/>
          <w:bCs/>
          <w:sz w:val="24"/>
          <w:highlight w:val="yellow"/>
        </w:rPr>
        <w:t>时</w:t>
      </w:r>
      <w:r>
        <w:rPr>
          <w:rFonts w:ascii="仿宋_GB2312" w:eastAsia="仿宋_GB2312"/>
          <w:b/>
          <w:bCs/>
          <w:sz w:val="24"/>
          <w:highlight w:val="yellow"/>
          <w:u w:val="single"/>
        </w:rPr>
        <w:t xml:space="preserve"> </w:t>
      </w:r>
      <w:r>
        <w:rPr>
          <w:rFonts w:hint="eastAsia" w:ascii="仿宋_GB2312" w:eastAsia="仿宋_GB2312"/>
          <w:b/>
          <w:bCs/>
          <w:sz w:val="24"/>
          <w:highlight w:val="yellow"/>
          <w:u w:val="single"/>
          <w:lang w:val="en-US" w:eastAsia="zh-CN"/>
        </w:rPr>
        <w:t>00</w:t>
      </w:r>
      <w:r>
        <w:rPr>
          <w:rFonts w:ascii="仿宋_GB2312" w:eastAsia="仿宋_GB2312"/>
          <w:b/>
          <w:bCs/>
          <w:sz w:val="24"/>
          <w:highlight w:val="yellow"/>
          <w:u w:val="single"/>
        </w:rPr>
        <w:t xml:space="preserve"> </w:t>
      </w:r>
      <w:r>
        <w:rPr>
          <w:rFonts w:hint="eastAsia" w:ascii="仿宋_GB2312" w:eastAsia="仿宋_GB2312"/>
          <w:b/>
          <w:bCs/>
          <w:sz w:val="24"/>
          <w:highlight w:val="yellow"/>
        </w:rPr>
        <w:t>分</w:t>
      </w:r>
    </w:p>
    <w:p>
      <w:pPr>
        <w:spacing w:line="360" w:lineRule="exact"/>
        <w:ind w:firstLine="480" w:firstLineChars="200"/>
        <w:rPr>
          <w:rFonts w:ascii="仿宋_GB2312" w:eastAsia="仿宋_GB2312"/>
          <w:sz w:val="24"/>
        </w:rPr>
      </w:pPr>
      <w:r>
        <w:rPr>
          <w:rFonts w:hint="eastAsia" w:ascii="仿宋_GB2312" w:eastAsia="仿宋_GB2312"/>
          <w:sz w:val="24"/>
        </w:rPr>
        <w:t>2.递交地点：</w:t>
      </w:r>
      <w:r>
        <w:rPr>
          <w:rFonts w:hint="eastAsia" w:ascii="仿宋_GB2312" w:eastAsia="仿宋_GB2312"/>
          <w:b/>
          <w:sz w:val="24"/>
        </w:rPr>
        <w:t>云南省昆明市</w:t>
      </w:r>
      <w:r>
        <w:rPr>
          <w:rFonts w:hint="eastAsia" w:ascii="仿宋_GB2312" w:eastAsia="仿宋_GB2312"/>
          <w:b/>
          <w:sz w:val="24"/>
          <w:lang w:eastAsia="zh-CN"/>
        </w:rPr>
        <w:t>云南能投联合外经股份有限</w:t>
      </w:r>
      <w:r>
        <w:rPr>
          <w:rFonts w:hint="eastAsia" w:ascii="仿宋_GB2312" w:eastAsia="仿宋_GB2312"/>
          <w:b/>
          <w:sz w:val="24"/>
        </w:rPr>
        <w:t>公司</w:t>
      </w:r>
      <w:r>
        <w:rPr>
          <w:rFonts w:hint="eastAsia" w:ascii="仿宋_GB2312" w:eastAsia="仿宋_GB2312"/>
          <w:b/>
          <w:sz w:val="24"/>
          <w:lang w:val="en-US" w:eastAsia="zh-CN"/>
        </w:rPr>
        <w:t>21楼财务融资部</w:t>
      </w:r>
      <w:r>
        <w:rPr>
          <w:rFonts w:hint="eastAsia" w:ascii="仿宋_GB2312" w:eastAsia="仿宋_GB2312"/>
          <w:b/>
          <w:sz w:val="24"/>
        </w:rPr>
        <w:t>会议室（于递交截止时间前将竞争性谈判申请文件电子版发送至竞谈人邮箱</w:t>
      </w:r>
      <w:r>
        <w:rPr>
          <w:rFonts w:hint="eastAsia" w:ascii="仿宋_GB2312" w:eastAsia="仿宋_GB2312"/>
          <w:b/>
          <w:sz w:val="24"/>
          <w:lang w:val="en-US" w:eastAsia="zh-CN"/>
        </w:rPr>
        <w:t>840720705@qq.com</w:t>
      </w:r>
      <w:r>
        <w:rPr>
          <w:rFonts w:hint="eastAsia" w:ascii="仿宋_GB2312" w:eastAsia="仿宋_GB2312"/>
          <w:b/>
          <w:sz w:val="24"/>
        </w:rPr>
        <w:t>，</w:t>
      </w:r>
      <w:r>
        <w:rPr>
          <w:rFonts w:hint="eastAsia" w:ascii="仿宋_GB2312" w:eastAsia="仿宋_GB2312"/>
          <w:b/>
          <w:sz w:val="24"/>
          <w:lang w:eastAsia="zh-CN"/>
        </w:rPr>
        <w:t>逾期视为放弃竞谈</w:t>
      </w:r>
      <w:r>
        <w:rPr>
          <w:rFonts w:hint="eastAsia" w:ascii="仿宋_GB2312" w:eastAsia="仿宋_GB2312"/>
          <w:b/>
          <w:sz w:val="24"/>
        </w:rPr>
        <w:t>）</w:t>
      </w:r>
      <w:r>
        <w:rPr>
          <w:rFonts w:hint="eastAsia" w:ascii="仿宋_GB2312" w:eastAsia="仿宋_GB2312"/>
          <w:sz w:val="24"/>
        </w:rPr>
        <w:t>。</w:t>
      </w:r>
    </w:p>
    <w:p>
      <w:pPr>
        <w:spacing w:line="360" w:lineRule="exact"/>
        <w:ind w:firstLine="480" w:firstLineChars="200"/>
        <w:rPr>
          <w:rFonts w:ascii="仿宋_GB2312" w:eastAsia="仿宋_GB2312"/>
          <w:sz w:val="24"/>
        </w:rPr>
      </w:pPr>
      <w:r>
        <w:rPr>
          <w:rFonts w:hint="eastAsia" w:ascii="仿宋_GB2312" w:eastAsia="仿宋_GB2312"/>
          <w:sz w:val="24"/>
        </w:rPr>
        <w:t>3.其他要求：逾期递交或不符合密封规定的文件恕不接收；法定代表人或委托代理人须携带本人身份证原件出席会议。</w:t>
      </w:r>
    </w:p>
    <w:p>
      <w:pPr>
        <w:spacing w:line="360" w:lineRule="exact"/>
        <w:ind w:firstLine="482" w:firstLineChars="200"/>
        <w:rPr>
          <w:rFonts w:ascii="仿宋_GB2312" w:eastAsia="仿宋_GB2312"/>
          <w:b/>
          <w:sz w:val="24"/>
        </w:rPr>
      </w:pPr>
      <w:r>
        <w:rPr>
          <w:rFonts w:hint="eastAsia" w:ascii="仿宋_GB2312" w:eastAsia="仿宋_GB2312"/>
          <w:b/>
          <w:sz w:val="24"/>
        </w:rPr>
        <w:t>五、联系方式</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rPr>
        <w:t>竞谈人：</w:t>
      </w:r>
      <w:r>
        <w:rPr>
          <w:rFonts w:hint="eastAsia" w:ascii="仿宋_GB2312" w:eastAsia="仿宋_GB2312"/>
          <w:sz w:val="24"/>
          <w:lang w:eastAsia="zh-CN"/>
        </w:rPr>
        <w:t>杨云川</w:t>
      </w:r>
    </w:p>
    <w:p>
      <w:pPr>
        <w:spacing w:line="360" w:lineRule="exact"/>
        <w:ind w:firstLine="480" w:firstLineChars="200"/>
        <w:rPr>
          <w:rFonts w:hint="eastAsia" w:ascii="仿宋_GB2312" w:eastAsia="仿宋_GB2312"/>
          <w:sz w:val="24"/>
          <w:lang w:eastAsia="zh-CN"/>
        </w:rPr>
      </w:pPr>
      <w:r>
        <w:rPr>
          <w:rFonts w:hint="eastAsia" w:ascii="仿宋_GB2312" w:eastAsia="仿宋_GB2312"/>
          <w:sz w:val="24"/>
        </w:rPr>
        <w:t>联系人：</w:t>
      </w:r>
      <w:r>
        <w:rPr>
          <w:rFonts w:ascii="仿宋_GB2312" w:eastAsia="仿宋_GB2312"/>
          <w:sz w:val="24"/>
        </w:rPr>
        <w:t xml:space="preserve"> </w:t>
      </w:r>
      <w:r>
        <w:rPr>
          <w:rFonts w:hint="eastAsia" w:ascii="仿宋_GB2312" w:eastAsia="仿宋_GB2312"/>
          <w:sz w:val="24"/>
          <w:lang w:eastAsia="zh-CN"/>
        </w:rPr>
        <w:t>丁蔚</w:t>
      </w:r>
    </w:p>
    <w:p>
      <w:pPr>
        <w:widowControl/>
        <w:spacing w:line="360" w:lineRule="auto"/>
        <w:ind w:firstLine="480" w:firstLineChars="200"/>
        <w:jc w:val="left"/>
        <w:rPr>
          <w:rFonts w:hint="eastAsia" w:ascii="仿宋_GB2312" w:eastAsia="仿宋_GB2312"/>
          <w:sz w:val="24"/>
        </w:rPr>
      </w:pPr>
      <w:r>
        <w:rPr>
          <w:rFonts w:hint="eastAsia" w:ascii="仿宋_GB2312" w:eastAsia="仿宋_GB2312"/>
          <w:sz w:val="24"/>
        </w:rPr>
        <w:t>联系电话：13987184406</w:t>
      </w:r>
    </w:p>
    <w:p>
      <w:pPr>
        <w:spacing w:line="360" w:lineRule="exact"/>
        <w:ind w:firstLine="480" w:firstLineChars="200"/>
        <w:rPr>
          <w:rFonts w:hint="eastAsia" w:ascii="仿宋_GB2312" w:eastAsia="仿宋_GB2312"/>
          <w:sz w:val="24"/>
        </w:rPr>
      </w:pPr>
      <w:r>
        <w:rPr>
          <w:rFonts w:hint="eastAsia" w:ascii="仿宋_GB2312" w:eastAsia="仿宋_GB2312"/>
          <w:sz w:val="24"/>
        </w:rPr>
        <w:t>电子邮箱：</w:t>
      </w:r>
      <w:r>
        <w:rPr>
          <w:rFonts w:hint="eastAsia" w:ascii="仿宋_GB2312" w:eastAsia="仿宋_GB2312"/>
          <w:sz w:val="24"/>
          <w:lang w:val="en-US" w:eastAsia="zh-CN"/>
        </w:rPr>
        <w:t>840720705@qq.com</w:t>
      </w:r>
    </w:p>
    <w:p>
      <w:pPr>
        <w:spacing w:line="360" w:lineRule="auto"/>
        <w:rPr>
          <w:rFonts w:ascii="仿宋_GB2312" w:hAnsi="仿宋_GB2312" w:eastAsia="仿宋_GB2312" w:cs="仿宋_GB2312"/>
          <w:sz w:val="24"/>
        </w:rPr>
      </w:pPr>
    </w:p>
    <w:p>
      <w:pPr>
        <w:spacing w:line="360" w:lineRule="auto"/>
        <w:ind w:firstLine="3840" w:firstLineChars="1600"/>
        <w:rPr>
          <w:rFonts w:ascii="仿宋_GB2312" w:hAnsi="仿宋_GB2312" w:eastAsia="仿宋_GB2312" w:cs="仿宋_GB2312"/>
          <w:sz w:val="24"/>
        </w:rPr>
      </w:pPr>
    </w:p>
    <w:p>
      <w:pPr>
        <w:spacing w:line="360" w:lineRule="auto"/>
        <w:ind w:firstLine="3840" w:firstLineChars="1600"/>
        <w:jc w:val="right"/>
        <w:rPr>
          <w:rFonts w:ascii="仿宋_GB2312" w:hAnsi="仿宋_GB2312" w:eastAsia="仿宋_GB2312" w:cs="仿宋_GB2312"/>
          <w:sz w:val="24"/>
        </w:rPr>
      </w:pPr>
    </w:p>
    <w:p>
      <w:pPr>
        <w:spacing w:line="360" w:lineRule="auto"/>
        <w:ind w:firstLine="3840" w:firstLineChars="1600"/>
        <w:jc w:val="right"/>
        <w:rPr>
          <w:rFonts w:ascii="仿宋_GB2312" w:hAnsi="仿宋_GB2312" w:eastAsia="仿宋_GB2312" w:cs="仿宋_GB2312"/>
          <w:sz w:val="24"/>
        </w:rPr>
      </w:pPr>
      <w:r>
        <w:rPr>
          <w:rFonts w:hint="eastAsia" w:ascii="仿宋_GB2312" w:hAnsi="仿宋_GB2312" w:eastAsia="仿宋_GB2312" w:cs="仿宋_GB2312"/>
          <w:sz w:val="24"/>
          <w:lang w:eastAsia="zh-CN"/>
        </w:rPr>
        <w:t>云南能投联合外经股份有限</w:t>
      </w:r>
      <w:r>
        <w:rPr>
          <w:rFonts w:hint="eastAsia" w:ascii="仿宋_GB2312" w:hAnsi="仿宋_GB2312" w:eastAsia="仿宋_GB2312" w:cs="仿宋_GB2312"/>
          <w:sz w:val="24"/>
        </w:rPr>
        <w:t>公司</w:t>
      </w:r>
    </w:p>
    <w:p>
      <w:pPr>
        <w:spacing w:line="360" w:lineRule="auto"/>
        <w:ind w:firstLine="5280" w:firstLineChars="2200"/>
        <w:jc w:val="right"/>
        <w:rPr>
          <w:rFonts w:ascii="仿宋_GB2312" w:hAnsi="仿宋_GB2312" w:eastAsia="仿宋_GB2312" w:cs="仿宋_GB2312"/>
          <w:sz w:val="24"/>
        </w:rPr>
      </w:pPr>
      <w:r>
        <w:rPr>
          <w:rFonts w:hint="eastAsia" w:ascii="仿宋_GB2312" w:hAnsi="仿宋_GB2312" w:eastAsia="仿宋_GB2312" w:cs="仿宋_GB2312"/>
          <w:sz w:val="24"/>
        </w:rPr>
        <w:t>财务部</w:t>
      </w:r>
    </w:p>
    <w:p>
      <w:pPr>
        <w:spacing w:line="360" w:lineRule="auto"/>
        <w:ind w:firstLine="4560" w:firstLineChars="1900"/>
        <w:jc w:val="right"/>
        <w:rPr>
          <w:rFonts w:ascii="仿宋_GB2312" w:hAnsi="仿宋_GB2312" w:eastAsia="仿宋_GB2312" w:cs="仿宋_GB2312"/>
          <w:sz w:val="24"/>
          <w:highlight w:val="yellow"/>
        </w:rPr>
      </w:pPr>
      <w:r>
        <w:rPr>
          <w:rFonts w:ascii="仿宋_GB2312" w:hAnsi="仿宋_GB2312" w:eastAsia="仿宋_GB2312" w:cs="仿宋_GB2312"/>
          <w:sz w:val="24"/>
          <w:highlight w:val="yellow"/>
        </w:rPr>
        <w:t>202</w:t>
      </w:r>
      <w:r>
        <w:rPr>
          <w:rFonts w:hint="eastAsia" w:ascii="仿宋_GB2312" w:hAnsi="仿宋_GB2312" w:eastAsia="仿宋_GB2312" w:cs="仿宋_GB2312"/>
          <w:sz w:val="24"/>
          <w:highlight w:val="yellow"/>
          <w:lang w:val="en-US" w:eastAsia="zh-CN"/>
        </w:rPr>
        <w:t>3</w:t>
      </w:r>
      <w:r>
        <w:rPr>
          <w:rFonts w:ascii="仿宋_GB2312" w:hAnsi="仿宋_GB2312" w:eastAsia="仿宋_GB2312" w:cs="仿宋_GB2312"/>
          <w:sz w:val="24"/>
          <w:highlight w:val="yellow"/>
        </w:rPr>
        <w:t xml:space="preserve">年 </w:t>
      </w:r>
      <w:r>
        <w:rPr>
          <w:rFonts w:hint="eastAsia" w:ascii="仿宋_GB2312" w:hAnsi="仿宋_GB2312" w:eastAsia="仿宋_GB2312" w:cs="仿宋_GB2312"/>
          <w:sz w:val="24"/>
          <w:highlight w:val="yellow"/>
          <w:lang w:val="en-US" w:eastAsia="zh-CN"/>
        </w:rPr>
        <w:t>3</w:t>
      </w:r>
      <w:r>
        <w:rPr>
          <w:rFonts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21</w:t>
      </w:r>
      <w:r>
        <w:rPr>
          <w:rFonts w:ascii="仿宋_GB2312" w:hAnsi="仿宋_GB2312" w:eastAsia="仿宋_GB2312" w:cs="仿宋_GB2312"/>
          <w:sz w:val="24"/>
          <w:highlight w:val="yellow"/>
        </w:rPr>
        <w:t>日</w:t>
      </w:r>
    </w:p>
    <w:p>
      <w:pPr>
        <w:spacing w:after="312" w:line="440" w:lineRule="exact"/>
        <w:jc w:val="center"/>
        <w:rPr>
          <w:rFonts w:ascii="黑体" w:hAnsi="黑体" w:eastAsia="黑体" w:cs="黑体"/>
          <w:b/>
          <w:bCs/>
          <w:sz w:val="28"/>
          <w:szCs w:val="28"/>
        </w:rPr>
      </w:pPr>
      <w:bookmarkStart w:id="1" w:name="_Toc12237_WPSOffice_Level1"/>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p>
    <w:p>
      <w:pPr>
        <w:spacing w:after="312" w:line="440" w:lineRule="exact"/>
        <w:rPr>
          <w:rFonts w:ascii="黑体" w:hAnsi="黑体" w:eastAsia="黑体" w:cs="黑体"/>
          <w:b/>
          <w:bCs/>
          <w:sz w:val="28"/>
          <w:szCs w:val="28"/>
        </w:rPr>
      </w:pPr>
    </w:p>
    <w:p>
      <w:pPr>
        <w:spacing w:after="312" w:line="440" w:lineRule="exact"/>
        <w:rPr>
          <w:rFonts w:ascii="黑体" w:hAnsi="黑体" w:eastAsia="黑体" w:cs="黑体"/>
          <w:b/>
          <w:bCs/>
          <w:sz w:val="28"/>
          <w:szCs w:val="28"/>
        </w:rPr>
      </w:pPr>
    </w:p>
    <w:p>
      <w:pPr>
        <w:spacing w:after="312" w:line="440" w:lineRule="exact"/>
        <w:jc w:val="center"/>
        <w:rPr>
          <w:rFonts w:ascii="黑体" w:hAnsi="黑体" w:eastAsia="黑体" w:cs="黑体"/>
          <w:b/>
          <w:bCs/>
          <w:sz w:val="28"/>
          <w:szCs w:val="28"/>
        </w:rPr>
      </w:pPr>
      <w:r>
        <w:rPr>
          <w:rFonts w:hint="eastAsia" w:ascii="黑体" w:hAnsi="黑体" w:eastAsia="黑体" w:cs="黑体"/>
          <w:b/>
          <w:bCs/>
          <w:sz w:val="28"/>
          <w:szCs w:val="28"/>
        </w:rPr>
        <w:t>第二章 申请人须知</w:t>
      </w:r>
      <w:bookmarkEnd w:id="1"/>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一、总则</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1.项目概况</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1.1项目名称：详见第一章《谈判邀请书》。</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1.2项目内容：详见第三章《服务内容及要求》。</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1.3谈判有效期：90日历天。</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2.合格的申请人</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2.1采用资格后审。</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2.2应符合谈判文件第一章谈判邀请书的资格要求。</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3.申请人的费用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申请人应承担所有编写和提交响应文件有关的费用，不论谈判结果如何，竞谈人在任何情况下均无义务和责任承担这些费用。</w:t>
      </w:r>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二、谈判文件</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4.谈判文件的构成</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4.1谈判文件由目录所列内容构成。</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4.2申请人应认真阅读谈判文件中所有的事项、格式、条款和要求，申请人按照谈判文件要求提交谈判申请文件并作出实质性响应。</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5.谈判文件的修改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5.1在递交响应文件截止时间前任何时候，无论出于何种原因，竞谈人可主动地或在解答申请人提出的澄清问题时对谈判文件进行修改。若文件出现前后不一致时，以最后发出的文件为准。</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5.2竞谈人对已发出的谈判文件进行必要的澄清或修改的，澄清或者修改的内容作为谈判文件的组成部分。澄清或者修改的内容可能影响响应文件编制的，竞谈人将在提交首次响应文件截止之日2日前，以书面形式通知所有接收谈判文件的申请人，不足2日的，将顺延提交首次响应文件截止之日。</w:t>
      </w:r>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三、响应文件的编制</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6.响应文件的报价、语言及度量衡单位</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6.1申请人提交的谈判文件报价根据报价，报价均为含税价（不含差旅费）。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6.2报价大小写金额不一致的，以</w:t>
      </w:r>
      <w:r>
        <w:rPr>
          <w:rFonts w:hint="eastAsia" w:ascii="仿宋_GB2312" w:hAnsi="仿宋_GB2312" w:eastAsia="仿宋_GB2312" w:cs="仿宋_GB2312"/>
          <w:b/>
          <w:bCs/>
          <w:sz w:val="24"/>
        </w:rPr>
        <w:t>大写</w:t>
      </w:r>
      <w:r>
        <w:rPr>
          <w:rFonts w:hint="eastAsia" w:ascii="仿宋_GB2312" w:hAnsi="仿宋_GB2312" w:eastAsia="仿宋_GB2312" w:cs="仿宋_GB2312"/>
          <w:sz w:val="24"/>
        </w:rPr>
        <w:t>金额为准；对不同文字文本响应文件的解释发生异议的，以</w:t>
      </w:r>
      <w:r>
        <w:rPr>
          <w:rFonts w:hint="eastAsia" w:ascii="仿宋_GB2312" w:hAnsi="仿宋_GB2312" w:eastAsia="仿宋_GB2312" w:cs="仿宋_GB2312"/>
          <w:b/>
          <w:bCs/>
          <w:sz w:val="24"/>
        </w:rPr>
        <w:t>中文</w:t>
      </w:r>
      <w:r>
        <w:rPr>
          <w:rFonts w:hint="eastAsia" w:ascii="仿宋_GB2312" w:hAnsi="仿宋_GB2312" w:eastAsia="仿宋_GB2312" w:cs="仿宋_GB2312"/>
          <w:sz w:val="24"/>
        </w:rPr>
        <w:t>文本为准。</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6.3申请人提交的响应文件及与竞谈人就有关问题的所有来往函电应使用</w:t>
      </w:r>
      <w:r>
        <w:rPr>
          <w:rFonts w:hint="eastAsia" w:ascii="仿宋_GB2312" w:hAnsi="仿宋_GB2312" w:eastAsia="仿宋_GB2312" w:cs="仿宋_GB2312"/>
          <w:b/>
          <w:bCs/>
          <w:sz w:val="24"/>
        </w:rPr>
        <w:t>中文</w:t>
      </w: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6.4响应文件中所有的度量衡单位，除谈判文件有特殊要求外，一律使用公制。</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7.响应文件的组成</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7.1申请人提交的响应文件应根据谈判文件附件格式填写，并加盖单位公章。</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7.2竞争性谈判响应文件由商务部分及技术部分组成，装订成册，并编写目录和页码。</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7.3商务部分，包含但不限于以下内容：</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报价函</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报价一览表</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资格证明文件</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法定代表人身份证明书</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法定代表人授权委托书</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业绩证明材料</w:t>
      </w:r>
    </w:p>
    <w:p>
      <w:pPr>
        <w:numPr>
          <w:ilvl w:val="0"/>
          <w:numId w:val="1"/>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其他资料</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7.4技术部分，包含但不限于以下内容：</w:t>
      </w:r>
    </w:p>
    <w:p>
      <w:pPr>
        <w:numPr>
          <w:ilvl w:val="0"/>
          <w:numId w:val="2"/>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服务方案及计划</w:t>
      </w:r>
    </w:p>
    <w:p>
      <w:pPr>
        <w:numPr>
          <w:ilvl w:val="0"/>
          <w:numId w:val="2"/>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服务承诺</w:t>
      </w:r>
    </w:p>
    <w:p>
      <w:pPr>
        <w:numPr>
          <w:ilvl w:val="0"/>
          <w:numId w:val="2"/>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服务响应正偏离</w:t>
      </w:r>
    </w:p>
    <w:p>
      <w:pPr>
        <w:numPr>
          <w:ilvl w:val="0"/>
          <w:numId w:val="2"/>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其他资料</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8.响应文件的式样和签署</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8.1响应文件份数：</w:t>
      </w:r>
      <w:r>
        <w:rPr>
          <w:rFonts w:hint="eastAsia" w:ascii="仿宋_GB2312" w:hAnsi="仿宋_GB2312" w:eastAsia="仿宋_GB2312" w:cs="仿宋_GB2312"/>
          <w:b/>
          <w:bCs/>
          <w:sz w:val="24"/>
        </w:rPr>
        <w:t>谈判申请文件正本1份、副本1份、电子版2份（</w:t>
      </w:r>
      <w:r>
        <w:rPr>
          <w:rFonts w:hint="eastAsia" w:ascii="仿宋_GB2312" w:eastAsia="仿宋_GB2312"/>
          <w:b/>
          <w:bCs/>
          <w:sz w:val="24"/>
        </w:rPr>
        <w:t>其中包含：Word格式一份、报价文件签字盖章后所有内容彩色扫描为PDF格式一份</w:t>
      </w:r>
      <w:r>
        <w:rPr>
          <w:rFonts w:hint="eastAsia" w:ascii="仿宋_GB2312" w:hAnsi="仿宋_GB2312" w:eastAsia="仿宋_GB2312" w:cs="仿宋_GB2312"/>
          <w:b/>
          <w:bCs/>
          <w:sz w:val="24"/>
        </w:rPr>
        <w:t>）</w:t>
      </w:r>
      <w:r>
        <w:rPr>
          <w:rFonts w:hint="eastAsia" w:ascii="仿宋_GB2312" w:hAnsi="仿宋_GB2312" w:eastAsia="仿宋_GB2312" w:cs="仿宋_GB2312"/>
          <w:sz w:val="24"/>
        </w:rPr>
        <w:t>；纸质版响应文件须清楚地标明“正本”和“副本”字样。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8.2响应文件的正本应装订成册，并由申请人法定代表人或其授权代理人按竞争性谈判要求签字、盖公章。响应文件副本可由正本复印而来，一旦正本和副本不符，以正本为准。授权代表参与谈判时须将以书面形式出具“法定代表人授权委托书”并附在响应文件中。</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8.3除申请人对错漏处必须修改外，响应文件不得行间插字、涂改和增删，如有修改错漏处，必须由</w:t>
      </w:r>
      <w:r>
        <w:rPr>
          <w:rFonts w:hint="eastAsia" w:ascii="仿宋_GB2312" w:hAnsi="仿宋_GB2312" w:eastAsia="仿宋_GB2312" w:cs="仿宋_GB2312"/>
          <w:b/>
          <w:bCs/>
          <w:sz w:val="24"/>
        </w:rPr>
        <w:t>同一签署人</w:t>
      </w:r>
      <w:r>
        <w:rPr>
          <w:rFonts w:hint="eastAsia" w:ascii="仿宋_GB2312" w:hAnsi="仿宋_GB2312" w:eastAsia="仿宋_GB2312" w:cs="仿宋_GB2312"/>
          <w:sz w:val="24"/>
        </w:rPr>
        <w:t>在修改错漏处签字或盖章。</w:t>
      </w:r>
    </w:p>
    <w:p>
      <w:pPr>
        <w:spacing w:before="120" w:beforeLines="50" w:after="120" w:afterLines="50" w:line="440" w:lineRule="exact"/>
        <w:jc w:val="center"/>
        <w:rPr>
          <w:rFonts w:ascii="仿宋_GB2312" w:hAnsi="仿宋_GB2312" w:eastAsia="仿宋_GB2312" w:cs="仿宋_GB2312"/>
          <w:b/>
          <w:bCs/>
          <w:sz w:val="24"/>
        </w:rPr>
        <w:sectPr>
          <w:headerReference r:id="rId5" w:type="default"/>
          <w:footerReference r:id="rId6" w:type="default"/>
          <w:pgSz w:w="11900" w:h="16840"/>
          <w:pgMar w:top="1495" w:right="1477" w:bottom="1560" w:left="1667" w:header="0" w:footer="3" w:gutter="0"/>
          <w:cols w:space="720" w:num="1"/>
          <w:docGrid w:linePitch="360" w:charSpace="0"/>
        </w:sectPr>
      </w:pPr>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四、响应文件的递交</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9.响应文件的密封和标记</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9.1申请人将响应文件的正本和副本（含电子版U盘）一起密封在一个外层套中，并在外封套上标明项目名称、项目编号并注明“响应文件递交截止时间前不得开封”字样。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9.2</w:t>
      </w:r>
      <w:r>
        <w:rPr>
          <w:rFonts w:hint="eastAsia" w:ascii="仿宋_GB2312" w:hAnsi="仿宋_GB2312" w:eastAsia="仿宋_GB2312" w:cs="仿宋_GB2312"/>
          <w:b/>
          <w:bCs/>
          <w:sz w:val="24"/>
        </w:rPr>
        <w:t>密封口处应加盖申请人公章或密封章</w:t>
      </w:r>
      <w:r>
        <w:rPr>
          <w:rFonts w:hint="eastAsia" w:ascii="仿宋_GB2312" w:hAnsi="仿宋_GB2312" w:eastAsia="仿宋_GB2312" w:cs="仿宋_GB2312"/>
          <w:sz w:val="24"/>
        </w:rPr>
        <w:t>。</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10.响应文件递交截止时间及地点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bCs/>
          <w:sz w:val="24"/>
        </w:rPr>
        <w:t>申请人需于</w:t>
      </w:r>
      <w:r>
        <w:rPr>
          <w:rFonts w:hint="eastAsia" w:ascii="仿宋_GB2312" w:hAnsi="仿宋_GB2312" w:eastAsia="仿宋_GB2312" w:cs="仿宋_GB2312"/>
          <w:bCs/>
          <w:sz w:val="24"/>
          <w:highlight w:val="yellow"/>
        </w:rPr>
        <w:t>202</w:t>
      </w:r>
      <w:r>
        <w:rPr>
          <w:rFonts w:hint="eastAsia" w:ascii="仿宋_GB2312" w:hAnsi="仿宋_GB2312" w:eastAsia="仿宋_GB2312" w:cs="仿宋_GB2312"/>
          <w:bCs/>
          <w:sz w:val="24"/>
          <w:highlight w:val="yellow"/>
          <w:lang w:val="en-US" w:eastAsia="zh-CN"/>
        </w:rPr>
        <w:t>3</w:t>
      </w:r>
      <w:r>
        <w:rPr>
          <w:rFonts w:hint="eastAsia" w:ascii="仿宋_GB2312" w:hAnsi="仿宋_GB2312" w:eastAsia="仿宋_GB2312" w:cs="仿宋_GB2312"/>
          <w:bCs/>
          <w:sz w:val="24"/>
          <w:highlight w:val="yellow"/>
        </w:rPr>
        <w:t>年</w:t>
      </w:r>
      <w:r>
        <w:rPr>
          <w:rFonts w:hint="eastAsia" w:ascii="仿宋_GB2312" w:hAnsi="仿宋_GB2312" w:eastAsia="仿宋_GB2312" w:cs="仿宋_GB2312"/>
          <w:bCs/>
          <w:sz w:val="24"/>
          <w:highlight w:val="yellow"/>
          <w:u w:val="single"/>
        </w:rPr>
        <w:t xml:space="preserve"> </w:t>
      </w:r>
      <w:r>
        <w:rPr>
          <w:rFonts w:hint="eastAsia" w:ascii="仿宋_GB2312" w:hAnsi="仿宋_GB2312" w:eastAsia="仿宋_GB2312" w:cs="仿宋_GB2312"/>
          <w:bCs/>
          <w:sz w:val="24"/>
          <w:highlight w:val="yellow"/>
          <w:u w:val="single"/>
          <w:lang w:val="en-US" w:eastAsia="zh-CN"/>
        </w:rPr>
        <w:t>3</w:t>
      </w:r>
      <w:r>
        <w:rPr>
          <w:rFonts w:hint="eastAsia" w:ascii="仿宋_GB2312" w:hAnsi="仿宋_GB2312" w:eastAsia="仿宋_GB2312" w:cs="仿宋_GB2312"/>
          <w:bCs/>
          <w:sz w:val="24"/>
          <w:highlight w:val="yellow"/>
          <w:u w:val="single"/>
        </w:rPr>
        <w:t xml:space="preserve"> </w:t>
      </w:r>
      <w:r>
        <w:rPr>
          <w:rFonts w:ascii="仿宋_GB2312" w:hAnsi="仿宋_GB2312" w:eastAsia="仿宋_GB2312" w:cs="仿宋_GB2312"/>
          <w:bCs/>
          <w:sz w:val="24"/>
          <w:highlight w:val="yellow"/>
        </w:rPr>
        <w:t>月</w:t>
      </w:r>
      <w:r>
        <w:rPr>
          <w:rFonts w:hint="eastAsia" w:ascii="仿宋_GB2312" w:hAnsi="仿宋_GB2312" w:eastAsia="仿宋_GB2312" w:cs="仿宋_GB2312"/>
          <w:bCs/>
          <w:sz w:val="24"/>
          <w:highlight w:val="yellow"/>
          <w:u w:val="single"/>
        </w:rPr>
        <w:t xml:space="preserve"> </w:t>
      </w:r>
      <w:r>
        <w:rPr>
          <w:rFonts w:hint="eastAsia" w:ascii="仿宋_GB2312" w:hAnsi="仿宋_GB2312" w:eastAsia="仿宋_GB2312" w:cs="仿宋_GB2312"/>
          <w:bCs/>
          <w:sz w:val="24"/>
          <w:highlight w:val="yellow"/>
          <w:u w:val="single"/>
          <w:lang w:val="en-US" w:eastAsia="zh-CN"/>
        </w:rPr>
        <w:t>31</w:t>
      </w:r>
      <w:r>
        <w:rPr>
          <w:rFonts w:hint="eastAsia" w:ascii="仿宋_GB2312" w:hAnsi="仿宋_GB2312" w:eastAsia="仿宋_GB2312" w:cs="仿宋_GB2312"/>
          <w:bCs/>
          <w:sz w:val="24"/>
          <w:highlight w:val="yellow"/>
        </w:rPr>
        <w:t>日</w:t>
      </w:r>
      <w:r>
        <w:rPr>
          <w:rFonts w:hint="eastAsia" w:ascii="仿宋_GB2312" w:hAnsi="仿宋_GB2312" w:eastAsia="仿宋_GB2312" w:cs="仿宋_GB2312"/>
          <w:bCs/>
          <w:sz w:val="24"/>
          <w:highlight w:val="yellow"/>
          <w:u w:val="single"/>
        </w:rPr>
        <w:t xml:space="preserve"> </w:t>
      </w:r>
      <w:r>
        <w:rPr>
          <w:rFonts w:hint="eastAsia" w:ascii="仿宋_GB2312" w:hAnsi="仿宋_GB2312" w:eastAsia="仿宋_GB2312" w:cs="仿宋_GB2312"/>
          <w:bCs/>
          <w:sz w:val="24"/>
          <w:highlight w:val="yellow"/>
          <w:u w:val="single"/>
          <w:lang w:eastAsia="zh-CN"/>
        </w:rPr>
        <w:t>上</w:t>
      </w:r>
      <w:r>
        <w:rPr>
          <w:rFonts w:hint="eastAsia" w:ascii="仿宋_GB2312" w:hAnsi="仿宋_GB2312" w:eastAsia="仿宋_GB2312" w:cs="仿宋_GB2312"/>
          <w:bCs/>
          <w:sz w:val="24"/>
          <w:highlight w:val="yellow"/>
          <w:u w:val="single"/>
        </w:rPr>
        <w:t xml:space="preserve">午 </w:t>
      </w:r>
      <w:r>
        <w:rPr>
          <w:rFonts w:hint="eastAsia" w:ascii="仿宋_GB2312" w:hAnsi="仿宋_GB2312" w:eastAsia="仿宋_GB2312" w:cs="仿宋_GB2312"/>
          <w:bCs/>
          <w:sz w:val="24"/>
          <w:highlight w:val="yellow"/>
          <w:u w:val="single"/>
          <w:lang w:val="en-US" w:eastAsia="zh-CN"/>
        </w:rPr>
        <w:t>10</w:t>
      </w:r>
      <w:r>
        <w:rPr>
          <w:rFonts w:hint="eastAsia" w:ascii="仿宋_GB2312" w:hAnsi="仿宋_GB2312" w:eastAsia="仿宋_GB2312" w:cs="仿宋_GB2312"/>
          <w:bCs/>
          <w:sz w:val="24"/>
          <w:highlight w:val="yellow"/>
          <w:u w:val="single"/>
        </w:rPr>
        <w:t xml:space="preserve"> </w:t>
      </w:r>
      <w:r>
        <w:rPr>
          <w:rFonts w:ascii="仿宋_GB2312" w:hAnsi="仿宋_GB2312" w:eastAsia="仿宋_GB2312" w:cs="仿宋_GB2312"/>
          <w:bCs/>
          <w:sz w:val="24"/>
          <w:highlight w:val="yellow"/>
        </w:rPr>
        <w:t>时</w:t>
      </w:r>
      <w:r>
        <w:rPr>
          <w:rFonts w:hint="eastAsia" w:ascii="仿宋_GB2312" w:hAnsi="仿宋_GB2312" w:eastAsia="仿宋_GB2312" w:cs="仿宋_GB2312"/>
          <w:bCs/>
          <w:sz w:val="24"/>
          <w:highlight w:val="yellow"/>
          <w:u w:val="single"/>
        </w:rPr>
        <w:t xml:space="preserve"> </w:t>
      </w:r>
      <w:r>
        <w:rPr>
          <w:rFonts w:hint="eastAsia" w:ascii="仿宋_GB2312" w:hAnsi="仿宋_GB2312" w:eastAsia="仿宋_GB2312" w:cs="仿宋_GB2312"/>
          <w:bCs/>
          <w:sz w:val="24"/>
          <w:highlight w:val="yellow"/>
          <w:u w:val="single"/>
          <w:lang w:val="en-US" w:eastAsia="zh-CN"/>
        </w:rPr>
        <w:t>00</w:t>
      </w:r>
      <w:r>
        <w:rPr>
          <w:rFonts w:hint="eastAsia" w:ascii="仿宋_GB2312" w:hAnsi="仿宋_GB2312" w:eastAsia="仿宋_GB2312" w:cs="仿宋_GB2312"/>
          <w:bCs/>
          <w:sz w:val="24"/>
          <w:highlight w:val="yellow"/>
          <w:u w:val="single"/>
        </w:rPr>
        <w:t xml:space="preserve"> </w:t>
      </w:r>
      <w:r>
        <w:rPr>
          <w:rFonts w:ascii="仿宋_GB2312" w:hAnsi="仿宋_GB2312" w:eastAsia="仿宋_GB2312" w:cs="仿宋_GB2312"/>
          <w:bCs/>
          <w:sz w:val="24"/>
          <w:highlight w:val="yellow"/>
        </w:rPr>
        <w:t>分</w:t>
      </w:r>
      <w:r>
        <w:rPr>
          <w:rFonts w:ascii="仿宋_GB2312" w:hAnsi="仿宋_GB2312" w:eastAsia="仿宋_GB2312" w:cs="仿宋_GB2312"/>
          <w:bCs/>
          <w:sz w:val="24"/>
        </w:rPr>
        <w:t>携带竞谈响应文件</w:t>
      </w:r>
      <w:r>
        <w:rPr>
          <w:rFonts w:hint="eastAsia" w:ascii="仿宋_GB2312" w:hAnsi="仿宋_GB2312" w:eastAsia="仿宋_GB2312" w:cs="仿宋_GB2312"/>
          <w:bCs/>
          <w:sz w:val="24"/>
          <w:lang w:eastAsia="zh-CN"/>
        </w:rPr>
        <w:t>纸质版</w:t>
      </w:r>
      <w:r>
        <w:rPr>
          <w:rFonts w:ascii="仿宋_GB2312" w:hAnsi="仿宋_GB2312" w:eastAsia="仿宋_GB2312" w:cs="仿宋_GB2312"/>
          <w:bCs/>
          <w:sz w:val="24"/>
        </w:rPr>
        <w:t>到</w:t>
      </w:r>
      <w:r>
        <w:rPr>
          <w:rFonts w:hint="eastAsia" w:ascii="仿宋_GB2312" w:hAnsi="仿宋_GB2312" w:eastAsia="仿宋_GB2312" w:cs="仿宋_GB2312"/>
          <w:bCs/>
          <w:sz w:val="24"/>
          <w:lang w:eastAsia="zh-CN"/>
        </w:rPr>
        <w:t>云南能投联合外经股份有限公司</w:t>
      </w:r>
      <w:r>
        <w:rPr>
          <w:rFonts w:ascii="仿宋_GB2312" w:hAnsi="仿宋_GB2312" w:eastAsia="仿宋_GB2312" w:cs="仿宋_GB2312"/>
          <w:bCs/>
          <w:sz w:val="24"/>
        </w:rPr>
        <w:t>公司</w:t>
      </w:r>
      <w:r>
        <w:rPr>
          <w:rFonts w:hint="eastAsia" w:ascii="仿宋_GB2312" w:hAnsi="仿宋_GB2312" w:eastAsia="仿宋_GB2312" w:cs="仿宋_GB2312"/>
          <w:bCs/>
          <w:sz w:val="24"/>
          <w:lang w:val="en-US" w:eastAsia="zh-CN"/>
        </w:rPr>
        <w:t>21楼财务融资部</w:t>
      </w:r>
      <w:r>
        <w:rPr>
          <w:rFonts w:ascii="仿宋_GB2312" w:hAnsi="仿宋_GB2312" w:eastAsia="仿宋_GB2312" w:cs="仿宋_GB2312"/>
          <w:bCs/>
          <w:sz w:val="24"/>
        </w:rPr>
        <w:t>会议室现场提交并参与现场竞谈</w:t>
      </w:r>
      <w:r>
        <w:rPr>
          <w:rFonts w:hint="eastAsia" w:ascii="仿宋_GB2312" w:hAnsi="仿宋_GB2312" w:eastAsia="仿宋_GB2312" w:cs="仿宋_GB2312"/>
          <w:bCs/>
          <w:sz w:val="24"/>
        </w:rPr>
        <w:t>（</w:t>
      </w:r>
      <w:r>
        <w:rPr>
          <w:rFonts w:hint="eastAsia" w:ascii="仿宋_GB2312" w:eastAsia="仿宋_GB2312"/>
          <w:sz w:val="24"/>
        </w:rPr>
        <w:t>如不能亲临现场的，亦可于递交截止时间前将</w:t>
      </w:r>
      <w:bookmarkStart w:id="36" w:name="_GoBack"/>
      <w:bookmarkEnd w:id="36"/>
      <w:r>
        <w:rPr>
          <w:rFonts w:hint="eastAsia" w:ascii="仿宋_GB2312" w:eastAsia="仿宋_GB2312"/>
          <w:sz w:val="24"/>
        </w:rPr>
        <w:t>竞争性谈判申请文件电子版发送至竞谈人邮箱</w:t>
      </w:r>
      <w:r>
        <w:rPr>
          <w:rFonts w:hint="eastAsia" w:ascii="仿宋_GB2312" w:eastAsia="仿宋_GB2312"/>
          <w:sz w:val="24"/>
          <w:lang w:val="en-US" w:eastAsia="zh-CN"/>
        </w:rPr>
        <w:t>840720705@qq.com</w:t>
      </w:r>
      <w:r>
        <w:rPr>
          <w:rFonts w:hint="eastAsia" w:ascii="仿宋_GB2312" w:eastAsia="仿宋_GB2312"/>
          <w:sz w:val="24"/>
        </w:rPr>
        <w:t>，参加电话竞谈</w:t>
      </w:r>
      <w:r>
        <w:rPr>
          <w:rFonts w:hint="eastAsia" w:ascii="仿宋_GB2312" w:hAnsi="仿宋_GB2312" w:eastAsia="仿宋_GB2312" w:cs="仿宋_GB2312"/>
          <w:bCs/>
          <w:sz w:val="24"/>
        </w:rPr>
        <w:t>）</w:t>
      </w:r>
      <w:r>
        <w:rPr>
          <w:rFonts w:ascii="仿宋_GB2312" w:hAnsi="仿宋_GB2312" w:eastAsia="仿宋_GB2312" w:cs="仿宋_GB2312"/>
          <w:bCs/>
          <w:sz w:val="24"/>
        </w:rPr>
        <w:t>。逾期者，视为放弃竞谈</w:t>
      </w: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rPr>
      </w:pPr>
      <w:r>
        <w:rPr>
          <w:rFonts w:ascii="仿宋_GB2312" w:hAnsi="仿宋_GB2312" w:eastAsia="仿宋_GB2312" w:cs="仿宋_GB2312"/>
          <w:sz w:val="24"/>
        </w:rPr>
        <w:t>10.2竞谈人如推迟递交截止时间的应以书面形式通知申请人。</w:t>
      </w:r>
    </w:p>
    <w:p>
      <w:pPr>
        <w:spacing w:line="440" w:lineRule="exact"/>
        <w:rPr>
          <w:rFonts w:ascii="仿宋_GB2312" w:hAnsi="仿宋_GB2312" w:eastAsia="仿宋_GB2312" w:cs="仿宋_GB2312"/>
          <w:b/>
          <w:bCs/>
          <w:sz w:val="24"/>
        </w:rPr>
      </w:pPr>
      <w:r>
        <w:rPr>
          <w:rFonts w:ascii="仿宋_GB2312" w:hAnsi="仿宋_GB2312" w:eastAsia="仿宋_GB2312" w:cs="仿宋_GB2312"/>
          <w:b/>
          <w:bCs/>
          <w:sz w:val="24"/>
        </w:rPr>
        <w:t>11.响应文件修改和撤回</w:t>
      </w:r>
    </w:p>
    <w:p>
      <w:pPr>
        <w:spacing w:line="440" w:lineRule="exact"/>
        <w:rPr>
          <w:rFonts w:ascii="仿宋_GB2312" w:hAnsi="仿宋_GB2312" w:eastAsia="仿宋_GB2312" w:cs="仿宋_GB2312"/>
          <w:sz w:val="24"/>
        </w:rPr>
      </w:pPr>
      <w:r>
        <w:rPr>
          <w:rFonts w:ascii="仿宋_GB2312" w:hAnsi="仿宋_GB2312" w:eastAsia="仿宋_GB2312" w:cs="仿宋_GB2312"/>
          <w:sz w:val="24"/>
        </w:rPr>
        <w:t>11.1在规定的响应文件递交截止时间前，申请人可以以书面形式补充修改或撤回已递交的响应文件，但必须在规定的响应文件递交截止时间之前提交书面申请并经竞谈人认可才能生效。补充和修改的内容为响应文件的组成部分。</w:t>
      </w:r>
    </w:p>
    <w:p>
      <w:pPr>
        <w:spacing w:line="440" w:lineRule="exact"/>
        <w:rPr>
          <w:rFonts w:ascii="仿宋_GB2312" w:hAnsi="仿宋_GB2312" w:eastAsia="仿宋_GB2312" w:cs="仿宋_GB2312"/>
          <w:sz w:val="24"/>
        </w:rPr>
      </w:pPr>
      <w:r>
        <w:rPr>
          <w:rFonts w:ascii="仿宋_GB2312" w:hAnsi="仿宋_GB2312" w:eastAsia="仿宋_GB2312" w:cs="仿宋_GB2312"/>
          <w:sz w:val="24"/>
        </w:rPr>
        <w:t>11.2申请人的修改或撤回通知书应按照第9条</w:t>
      </w:r>
      <w:r>
        <w:rPr>
          <w:rFonts w:hint="eastAsia" w:ascii="仿宋_GB2312" w:hAnsi="仿宋_GB2312" w:eastAsia="仿宋_GB2312" w:cs="仿宋_GB2312"/>
          <w:sz w:val="24"/>
        </w:rPr>
        <w:t>进行编制、密封、标记和递交，并应在内层封套上另注“修改”或“撤回”字样。</w:t>
      </w:r>
    </w:p>
    <w:p>
      <w:pPr>
        <w:spacing w:line="440" w:lineRule="exact"/>
        <w:rPr>
          <w:rFonts w:ascii="仿宋_GB2312" w:hAnsi="仿宋_GB2312" w:eastAsia="仿宋_GB2312" w:cs="仿宋_GB2312"/>
          <w:sz w:val="24"/>
        </w:rPr>
      </w:pPr>
      <w:r>
        <w:rPr>
          <w:rFonts w:ascii="仿宋_GB2312" w:hAnsi="仿宋_GB2312" w:eastAsia="仿宋_GB2312" w:cs="仿宋_GB2312"/>
          <w:sz w:val="24"/>
        </w:rPr>
        <w:t>11.3在响应文件递交截止时间之后，申请人不得对其响应文件做任何修改。</w:t>
      </w:r>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五、谈判与评审</w:t>
      </w:r>
    </w:p>
    <w:p>
      <w:pPr>
        <w:spacing w:line="440" w:lineRule="exact"/>
        <w:rPr>
          <w:rFonts w:ascii="仿宋_GB2312" w:hAnsi="仿宋_GB2312" w:eastAsia="仿宋_GB2312" w:cs="仿宋_GB2312"/>
          <w:b/>
          <w:bCs/>
          <w:sz w:val="24"/>
        </w:rPr>
      </w:pPr>
      <w:r>
        <w:rPr>
          <w:rFonts w:ascii="仿宋_GB2312" w:hAnsi="仿宋_GB2312" w:eastAsia="仿宋_GB2312" w:cs="仿宋_GB2312"/>
          <w:b/>
          <w:bCs/>
          <w:sz w:val="24"/>
        </w:rPr>
        <w:t>12.谈判原则</w:t>
      </w:r>
    </w:p>
    <w:p>
      <w:pPr>
        <w:spacing w:line="440" w:lineRule="exact"/>
        <w:rPr>
          <w:rFonts w:ascii="仿宋_GB2312" w:hAnsi="仿宋_GB2312" w:eastAsia="仿宋_GB2312" w:cs="仿宋_GB2312"/>
          <w:sz w:val="24"/>
        </w:rPr>
      </w:pPr>
      <w:r>
        <w:rPr>
          <w:rFonts w:ascii="仿宋_GB2312" w:hAnsi="仿宋_GB2312" w:eastAsia="仿宋_GB2312" w:cs="仿宋_GB2312"/>
          <w:sz w:val="24"/>
        </w:rPr>
        <w:t>12.1按照</w:t>
      </w:r>
      <w:r>
        <w:rPr>
          <w:rFonts w:hint="eastAsia" w:ascii="仿宋_GB2312" w:hAnsi="仿宋_GB2312" w:eastAsia="仿宋_GB2312" w:cs="仿宋_GB2312"/>
          <w:sz w:val="24"/>
        </w:rPr>
        <w:t>竞谈人相关规章制度及竞争性谈判文件制定本办法。</w:t>
      </w:r>
    </w:p>
    <w:p>
      <w:pPr>
        <w:spacing w:line="440" w:lineRule="exact"/>
        <w:rPr>
          <w:rFonts w:ascii="仿宋_GB2312" w:hAnsi="仿宋_GB2312" w:eastAsia="仿宋_GB2312" w:cs="仿宋_GB2312"/>
          <w:sz w:val="24"/>
        </w:rPr>
      </w:pPr>
      <w:r>
        <w:rPr>
          <w:rFonts w:ascii="仿宋_GB2312" w:hAnsi="仿宋_GB2312" w:eastAsia="仿宋_GB2312" w:cs="仿宋_GB2312"/>
          <w:sz w:val="24"/>
        </w:rPr>
        <w:t>12.2竞谈人成立谈判小组，成员人数</w:t>
      </w:r>
      <w:r>
        <w:rPr>
          <w:rFonts w:hint="eastAsia" w:ascii="仿宋_GB2312" w:hAnsi="仿宋_GB2312" w:eastAsia="仿宋_GB2312" w:cs="仿宋_GB2312"/>
          <w:sz w:val="24"/>
        </w:rPr>
        <w:t>为</w:t>
      </w:r>
      <w:r>
        <w:rPr>
          <w:rFonts w:ascii="仿宋_GB2312" w:hAnsi="仿宋_GB2312" w:eastAsia="仿宋_GB2312" w:cs="仿宋_GB2312"/>
          <w:sz w:val="24"/>
        </w:rPr>
        <w:t>5</w:t>
      </w:r>
      <w:r>
        <w:rPr>
          <w:rFonts w:hint="eastAsia" w:ascii="仿宋_GB2312" w:hAnsi="仿宋_GB2312" w:eastAsia="仿宋_GB2312" w:cs="仿宋_GB2312"/>
          <w:sz w:val="24"/>
        </w:rPr>
        <w:t>人，负责对竞争性谈判申请文件进行评审；竞谈人将委派纪检相关人员对谈判工作进行全过程监督。</w:t>
      </w:r>
    </w:p>
    <w:p>
      <w:pPr>
        <w:spacing w:line="440" w:lineRule="exact"/>
        <w:rPr>
          <w:rFonts w:ascii="仿宋_GB2312" w:hAnsi="仿宋_GB2312" w:eastAsia="仿宋_GB2312" w:cs="仿宋_GB2312"/>
          <w:sz w:val="24"/>
        </w:rPr>
      </w:pPr>
      <w:r>
        <w:rPr>
          <w:rFonts w:ascii="仿宋_GB2312" w:hAnsi="仿宋_GB2312" w:eastAsia="仿宋_GB2312" w:cs="仿宋_GB2312"/>
          <w:sz w:val="24"/>
        </w:rPr>
        <w:t>12.3谈判原则：依照“公平、公正、科学、合法、保密”的原则。</w:t>
      </w:r>
    </w:p>
    <w:p>
      <w:pPr>
        <w:spacing w:line="440" w:lineRule="exact"/>
        <w:rPr>
          <w:rFonts w:ascii="仿宋_GB2312" w:hAnsi="仿宋_GB2312" w:eastAsia="仿宋_GB2312" w:cs="仿宋_GB2312"/>
          <w:b/>
          <w:bCs/>
          <w:sz w:val="24"/>
        </w:rPr>
      </w:pPr>
      <w:r>
        <w:rPr>
          <w:rFonts w:ascii="仿宋_GB2312" w:hAnsi="仿宋_GB2312" w:eastAsia="仿宋_GB2312" w:cs="仿宋_GB2312"/>
          <w:b/>
          <w:bCs/>
          <w:sz w:val="24"/>
        </w:rPr>
        <w:t>13.谈判程序</w:t>
      </w:r>
    </w:p>
    <w:p>
      <w:pPr>
        <w:spacing w:line="440" w:lineRule="exact"/>
        <w:rPr>
          <w:rFonts w:ascii="仿宋_GB2312" w:hAnsi="仿宋_GB2312" w:eastAsia="仿宋_GB2312" w:cs="仿宋_GB2312"/>
          <w:sz w:val="24"/>
        </w:rPr>
      </w:pPr>
      <w:r>
        <w:rPr>
          <w:rFonts w:ascii="仿宋_GB2312" w:hAnsi="仿宋_GB2312" w:eastAsia="仿宋_GB2312" w:cs="仿宋_GB2312"/>
          <w:sz w:val="24"/>
        </w:rPr>
        <w:t>13.1谈判会议程序：</w:t>
      </w:r>
    </w:p>
    <w:p>
      <w:pPr>
        <w:numPr>
          <w:ilvl w:val="0"/>
          <w:numId w:val="3"/>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纪检人员检查所有已递交的响应文件的密封情况，并公布检查结果。</w:t>
      </w:r>
    </w:p>
    <w:p>
      <w:pPr>
        <w:numPr>
          <w:ilvl w:val="0"/>
          <w:numId w:val="3"/>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竞谈人以随机方式确定谈判顺序。</w:t>
      </w:r>
    </w:p>
    <w:p>
      <w:pPr>
        <w:numPr>
          <w:ilvl w:val="0"/>
          <w:numId w:val="3"/>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响应文件提交谈判小组后，谈判申请人应回避等候。</w:t>
      </w:r>
    </w:p>
    <w:p>
      <w:pPr>
        <w:numPr>
          <w:ilvl w:val="0"/>
          <w:numId w:val="3"/>
        </w:numPr>
        <w:spacing w:line="440" w:lineRule="exact"/>
        <w:rPr>
          <w:rFonts w:ascii="仿宋_GB2312" w:hAnsi="仿宋_GB2312" w:eastAsia="仿宋_GB2312" w:cs="仿宋_GB2312"/>
          <w:sz w:val="24"/>
        </w:rPr>
      </w:pPr>
      <w:r>
        <w:rPr>
          <w:rFonts w:hint="eastAsia" w:ascii="仿宋_GB2312" w:hAnsi="仿宋_GB2312" w:eastAsia="仿宋_GB2312" w:cs="仿宋_GB2312"/>
          <w:sz w:val="24"/>
        </w:rPr>
        <w:t>谈判小组首先对所有响应文件进行初步评审。</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（5）谈判小组按照谈判顺序依次与申请人进行谈判，</w:t>
      </w:r>
    </w:p>
    <w:p>
      <w:pPr>
        <w:numPr>
          <w:ilvl w:val="255"/>
          <w:numId w:val="0"/>
        </w:numPr>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本次谈判采用二次报价，申请人应澄清相关问题并在规定时间内提交二次报价及承诺，原则上最终报价不得高于一次报价。</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（6）谈判小组对通过初步评审的响应文件进行详细评审。</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（7）谈判小组根据申请人提交的响应文件及最终报价承诺，对申请人的报价、服务、方案承诺等内容进行综合评审。</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（8）谈判小组根据各申请人提交的有效响应文件的最终报价、详细评审情况，编制评审报告，确定“推荐成交候选人名单”。</w:t>
      </w:r>
    </w:p>
    <w:p>
      <w:pPr>
        <w:spacing w:line="440" w:lineRule="exact"/>
        <w:rPr>
          <w:rFonts w:ascii="仿宋_GB2312" w:hAnsi="仿宋_GB2312" w:eastAsia="仿宋_GB2312" w:cs="仿宋_GB2312"/>
          <w:sz w:val="24"/>
        </w:rPr>
      </w:pPr>
      <w:r>
        <w:rPr>
          <w:rFonts w:ascii="仿宋_GB2312" w:hAnsi="仿宋_GB2312" w:eastAsia="仿宋_GB2312" w:cs="仿宋_GB2312"/>
          <w:sz w:val="24"/>
        </w:rPr>
        <w:t>13.2评审办法：本次谈判采用综合评分法，即：响应文件满足谈判文件全部实质性要求，并根据评审规则，得分最高的申请人推荐作为成交候选人。</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综合得分</w:t>
      </w:r>
      <w:r>
        <w:rPr>
          <w:rFonts w:ascii="仿宋_GB2312" w:hAnsi="仿宋_GB2312" w:eastAsia="仿宋_GB2312" w:cs="仿宋_GB2312"/>
          <w:b/>
          <w:bCs/>
          <w:sz w:val="24"/>
        </w:rPr>
        <w:t>=技术得分（</w:t>
      </w:r>
      <w:r>
        <w:rPr>
          <w:rFonts w:hint="eastAsia" w:ascii="仿宋_GB2312" w:hAnsi="仿宋_GB2312" w:eastAsia="仿宋_GB2312" w:cs="仿宋_GB2312"/>
          <w:b/>
          <w:bCs/>
          <w:sz w:val="24"/>
        </w:rPr>
        <w:t>40</w:t>
      </w:r>
      <w:r>
        <w:rPr>
          <w:rFonts w:ascii="仿宋_GB2312" w:hAnsi="仿宋_GB2312" w:eastAsia="仿宋_GB2312" w:cs="仿宋_GB2312"/>
          <w:b/>
          <w:bCs/>
          <w:sz w:val="24"/>
        </w:rPr>
        <w:t>%）+商务得分（</w:t>
      </w:r>
      <w:r>
        <w:rPr>
          <w:rFonts w:hint="eastAsia" w:ascii="仿宋_GB2312" w:hAnsi="仿宋_GB2312" w:eastAsia="仿宋_GB2312" w:cs="仿宋_GB2312"/>
          <w:b/>
          <w:bCs/>
          <w:sz w:val="24"/>
        </w:rPr>
        <w:t>10</w:t>
      </w:r>
      <w:r>
        <w:rPr>
          <w:rFonts w:ascii="仿宋_GB2312" w:hAnsi="仿宋_GB2312" w:eastAsia="仿宋_GB2312" w:cs="仿宋_GB2312"/>
          <w:b/>
          <w:bCs/>
          <w:sz w:val="24"/>
        </w:rPr>
        <w:t>%）+报价得分（50%）</w:t>
      </w:r>
    </w:p>
    <w:p>
      <w:pPr>
        <w:spacing w:line="440" w:lineRule="exact"/>
        <w:rPr>
          <w:rFonts w:ascii="仿宋_GB2312" w:hAnsi="仿宋_GB2312" w:eastAsia="仿宋_GB2312" w:cs="仿宋_GB2312"/>
          <w:sz w:val="24"/>
        </w:rPr>
      </w:pPr>
      <w:r>
        <w:rPr>
          <w:rFonts w:ascii="仿宋_GB2312" w:hAnsi="仿宋_GB2312" w:eastAsia="仿宋_GB2312" w:cs="仿宋_GB2312"/>
          <w:sz w:val="24"/>
        </w:rPr>
        <w:t>13.3初步评审（分为资格性审查和符合性审查）：</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1）资格性审查：依照法律法规和竞争性谈判文件的规定，对响应文件的资格证明等进行审查，以确定申请人是否具备谈判资格。通过资格审查的申请人进入符合性审查。</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2）符合性审查：依据竞争性谈判文件的规定，从响应文件的有效性、完整性和对竞争性谈判文件的响应程度进行审查，以确定是否对竞争性谈判文件的实质性要求</w:t>
      </w:r>
      <w:r>
        <w:rPr>
          <w:rFonts w:hint="eastAsia" w:ascii="仿宋_GB2312" w:hAnsi="仿宋_GB2312" w:eastAsia="仿宋_GB2312" w:cs="仿宋_GB2312"/>
          <w:sz w:val="24"/>
        </w:rPr>
        <w:t>作出响应。</w:t>
      </w:r>
    </w:p>
    <w:p>
      <w:pPr>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以下情形将不能通过符合性审查：</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a）无单位盖章并无法定代表人或其委托代理人签字或盖章的。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b）法定代表人委托代理人谈判，但无法定代表人授权</w:t>
      </w:r>
      <w:r>
        <w:rPr>
          <w:rFonts w:hint="eastAsia" w:ascii="仿宋_GB2312" w:hAnsi="仿宋_GB2312" w:eastAsia="仿宋_GB2312" w:cs="仿宋_GB2312"/>
          <w:sz w:val="24"/>
        </w:rPr>
        <w:t>委托书的。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c）未按规定的格式填写，内容不全或关键字迹模糊、无法辨认的。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d）申请人递交两份或多份内容不同的响应文件，或在一份响应文件中对同一内容报两个或多个报价，且未声明哪一个为最终报价的，按竞争性谈判文件规定提交备选谈判方案的除外。</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e）谈判有效期不满足竞争性谈判文件要求的。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f）未按竞争性谈判文件要求提交相关材料的。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g）未按实质性要求响应竞争性谈判文件的。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h）响应文件附有竞谈人不能接受的条件的。</w:t>
      </w:r>
    </w:p>
    <w:p>
      <w:pPr>
        <w:spacing w:line="44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i）不符合法律、法规和竞争性谈判文件中规定的其他实质性要求的。</w:t>
      </w:r>
    </w:p>
    <w:p>
      <w:pPr>
        <w:spacing w:line="440" w:lineRule="exact"/>
        <w:rPr>
          <w:rFonts w:ascii="仿宋_GB2312" w:hAnsi="仿宋_GB2312" w:eastAsia="仿宋_GB2312" w:cs="仿宋_GB2312"/>
          <w:sz w:val="24"/>
        </w:rPr>
      </w:pPr>
      <w:r>
        <w:rPr>
          <w:rFonts w:ascii="仿宋_GB2312" w:hAnsi="仿宋_GB2312" w:eastAsia="仿宋_GB2312" w:cs="仿宋_GB2312"/>
          <w:sz w:val="24"/>
        </w:rPr>
        <w:t>13.4详细评审</w:t>
      </w:r>
    </w:p>
    <w:p>
      <w:pPr>
        <w:spacing w:line="440" w:lineRule="exact"/>
        <w:rPr>
          <w:rFonts w:ascii="仿宋_GB2312" w:hAnsi="仿宋_GB2312" w:eastAsia="仿宋_GB2312" w:cs="仿宋_GB2312"/>
          <w:sz w:val="24"/>
        </w:rPr>
      </w:pPr>
      <w:r>
        <w:rPr>
          <w:rFonts w:ascii="仿宋_GB2312" w:hAnsi="仿宋_GB2312" w:eastAsia="仿宋_GB2312" w:cs="仿宋_GB2312"/>
          <w:sz w:val="24"/>
        </w:rPr>
        <w:t>13.4.1技术得分（</w:t>
      </w:r>
      <w:r>
        <w:rPr>
          <w:rFonts w:hint="eastAsia" w:ascii="仿宋_GB2312" w:hAnsi="仿宋_GB2312" w:eastAsia="仿宋_GB2312" w:cs="仿宋_GB2312"/>
          <w:sz w:val="24"/>
        </w:rPr>
        <w:t>40</w:t>
      </w:r>
      <w:r>
        <w:rPr>
          <w:rFonts w:ascii="仿宋_GB2312" w:hAnsi="仿宋_GB2312" w:eastAsia="仿宋_GB2312" w:cs="仿宋_GB2312"/>
          <w:sz w:val="24"/>
        </w:rPr>
        <w:t>%）</w:t>
      </w:r>
    </w:p>
    <w:tbl>
      <w:tblPr>
        <w:tblStyle w:val="8"/>
        <w:tblW w:w="9637" w:type="dxa"/>
        <w:jc w:val="center"/>
        <w:tblLayout w:type="fixed"/>
        <w:tblCellMar>
          <w:top w:w="0" w:type="dxa"/>
          <w:left w:w="10" w:type="dxa"/>
          <w:bottom w:w="0" w:type="dxa"/>
          <w:right w:w="10" w:type="dxa"/>
        </w:tblCellMar>
      </w:tblPr>
      <w:tblGrid>
        <w:gridCol w:w="1257"/>
        <w:gridCol w:w="1694"/>
        <w:gridCol w:w="5994"/>
        <w:gridCol w:w="692"/>
      </w:tblGrid>
      <w:tr>
        <w:tblPrEx>
          <w:tblCellMar>
            <w:top w:w="0" w:type="dxa"/>
            <w:left w:w="10" w:type="dxa"/>
            <w:bottom w:w="0" w:type="dxa"/>
            <w:right w:w="10" w:type="dxa"/>
          </w:tblCellMar>
        </w:tblPrEx>
        <w:trPr>
          <w:trHeight w:val="583" w:hRule="exact"/>
          <w:jc w:val="center"/>
        </w:trPr>
        <w:tc>
          <w:tcPr>
            <w:tcW w:w="1257" w:type="dxa"/>
            <w:tcBorders>
              <w:top w:val="single" w:color="auto" w:sz="4" w:space="0"/>
              <w:left w:val="single" w:color="auto" w:sz="4" w:space="0"/>
            </w:tcBorders>
            <w:shd w:val="clear" w:color="auto" w:fill="FFFFFF"/>
            <w:vAlign w:val="center"/>
          </w:tcPr>
          <w:p>
            <w:pPr>
              <w:pStyle w:val="19"/>
              <w:ind w:left="100"/>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序号</w:t>
            </w:r>
          </w:p>
        </w:tc>
        <w:tc>
          <w:tcPr>
            <w:tcW w:w="1694" w:type="dxa"/>
            <w:tcBorders>
              <w:top w:val="single" w:color="auto" w:sz="4" w:space="0"/>
              <w:left w:val="single" w:color="auto" w:sz="4" w:space="0"/>
            </w:tcBorders>
            <w:shd w:val="clear" w:color="auto" w:fill="FFFFFF"/>
            <w:vAlign w:val="center"/>
          </w:tcPr>
          <w:p>
            <w:pPr>
              <w:pStyle w:val="19"/>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评审项目</w:t>
            </w:r>
          </w:p>
        </w:tc>
        <w:tc>
          <w:tcPr>
            <w:tcW w:w="5994" w:type="dxa"/>
            <w:tcBorders>
              <w:top w:val="single" w:color="auto" w:sz="4" w:space="0"/>
              <w:left w:val="single" w:color="auto" w:sz="4" w:space="0"/>
            </w:tcBorders>
            <w:shd w:val="clear" w:color="auto" w:fill="FFFFFF"/>
            <w:vAlign w:val="center"/>
          </w:tcPr>
          <w:p>
            <w:pPr>
              <w:pStyle w:val="19"/>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评审标准</w:t>
            </w:r>
          </w:p>
        </w:tc>
        <w:tc>
          <w:tcPr>
            <w:tcW w:w="692" w:type="dxa"/>
            <w:tcBorders>
              <w:top w:val="single" w:color="auto" w:sz="4" w:space="0"/>
              <w:left w:val="single" w:color="auto" w:sz="4" w:space="0"/>
              <w:right w:val="single" w:color="auto" w:sz="4" w:space="0"/>
            </w:tcBorders>
            <w:shd w:val="clear" w:color="auto" w:fill="FFFFFF"/>
            <w:vAlign w:val="center"/>
          </w:tcPr>
          <w:p>
            <w:pPr>
              <w:pStyle w:val="19"/>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分值</w:t>
            </w:r>
          </w:p>
        </w:tc>
      </w:tr>
      <w:tr>
        <w:tblPrEx>
          <w:tblCellMar>
            <w:top w:w="0" w:type="dxa"/>
            <w:left w:w="10" w:type="dxa"/>
            <w:bottom w:w="0" w:type="dxa"/>
            <w:right w:w="10" w:type="dxa"/>
          </w:tblCellMar>
        </w:tblPrEx>
        <w:trPr>
          <w:trHeight w:val="723" w:hRule="exact"/>
          <w:jc w:val="center"/>
        </w:trPr>
        <w:tc>
          <w:tcPr>
            <w:tcW w:w="1257" w:type="dxa"/>
            <w:vMerge w:val="restart"/>
            <w:tcBorders>
              <w:top w:val="single" w:color="auto" w:sz="4" w:space="0"/>
              <w:left w:val="single" w:color="auto" w:sz="4" w:space="0"/>
            </w:tcBorders>
            <w:shd w:val="clear" w:color="auto" w:fill="FFFFFF"/>
            <w:vAlign w:val="center"/>
          </w:tcPr>
          <w:p>
            <w:pPr>
              <w:pStyle w:val="19"/>
              <w:spacing w:before="100"/>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w:t>
            </w:r>
          </w:p>
        </w:tc>
        <w:tc>
          <w:tcPr>
            <w:tcW w:w="1694" w:type="dxa"/>
            <w:vMerge w:val="restart"/>
            <w:tcBorders>
              <w:top w:val="single" w:color="auto" w:sz="4" w:space="0"/>
              <w:left w:val="single" w:color="auto" w:sz="4" w:space="0"/>
            </w:tcBorders>
            <w:shd w:val="clear" w:color="auto" w:fill="FFFFFF"/>
            <w:vAlign w:val="center"/>
          </w:tcPr>
          <w:p>
            <w:pPr>
              <w:pStyle w:val="19"/>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综合实力、履约能力、服务方案</w:t>
            </w:r>
          </w:p>
        </w:tc>
        <w:tc>
          <w:tcPr>
            <w:tcW w:w="5994" w:type="dxa"/>
            <w:tcBorders>
              <w:top w:val="single" w:color="auto" w:sz="4" w:space="0"/>
              <w:left w:val="single" w:color="auto" w:sz="4" w:space="0"/>
            </w:tcBorders>
            <w:shd w:val="clear" w:color="auto" w:fill="FFFFFF"/>
            <w:vAlign w:val="center"/>
          </w:tcPr>
          <w:p>
            <w:pPr>
              <w:pStyle w:val="19"/>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（1）申请人的综合实力，从业规模、人员资质能力等进行横向评定。</w:t>
            </w:r>
          </w:p>
        </w:tc>
        <w:tc>
          <w:tcPr>
            <w:tcW w:w="692" w:type="dxa"/>
            <w:tcBorders>
              <w:top w:val="single" w:color="auto" w:sz="4" w:space="0"/>
              <w:left w:val="single" w:color="auto" w:sz="4" w:space="0"/>
              <w:right w:val="single" w:color="auto" w:sz="4" w:space="0"/>
            </w:tcBorders>
            <w:shd w:val="clear" w:color="auto" w:fill="FFFFFF"/>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10</w:t>
            </w:r>
          </w:p>
        </w:tc>
      </w:tr>
      <w:tr>
        <w:tblPrEx>
          <w:tblCellMar>
            <w:top w:w="0" w:type="dxa"/>
            <w:left w:w="10" w:type="dxa"/>
            <w:bottom w:w="0" w:type="dxa"/>
            <w:right w:w="10" w:type="dxa"/>
          </w:tblCellMar>
        </w:tblPrEx>
        <w:trPr>
          <w:trHeight w:val="798" w:hRule="exact"/>
          <w:jc w:val="center"/>
        </w:trPr>
        <w:tc>
          <w:tcPr>
            <w:tcW w:w="1257" w:type="dxa"/>
            <w:vMerge w:val="continue"/>
            <w:tcBorders>
              <w:left w:val="single" w:color="auto" w:sz="4" w:space="0"/>
            </w:tcBorders>
            <w:shd w:val="clear" w:color="auto" w:fill="FFFFFF"/>
          </w:tcPr>
          <w:p>
            <w:pPr>
              <w:pStyle w:val="19"/>
              <w:spacing w:before="80"/>
              <w:jc w:val="center"/>
              <w:rPr>
                <w:rFonts w:ascii="仿宋_GB2312" w:eastAsia="仿宋_GB2312" w:hAnsiTheme="minorHAnsi" w:cstheme="minorBidi"/>
                <w:sz w:val="24"/>
                <w:szCs w:val="24"/>
                <w:lang w:val="en-US" w:eastAsia="zh-CN" w:bidi="ar-SA"/>
              </w:rPr>
            </w:pPr>
          </w:p>
        </w:tc>
        <w:tc>
          <w:tcPr>
            <w:tcW w:w="1694" w:type="dxa"/>
            <w:vMerge w:val="continue"/>
            <w:tcBorders>
              <w:left w:val="single" w:color="auto" w:sz="4" w:space="0"/>
            </w:tcBorders>
            <w:shd w:val="clear" w:color="auto" w:fill="FFFFFF"/>
            <w:vAlign w:val="center"/>
          </w:tcPr>
          <w:p>
            <w:pPr>
              <w:rPr>
                <w:rFonts w:ascii="仿宋_GB2312" w:eastAsia="仿宋_GB2312"/>
                <w:sz w:val="24"/>
              </w:rPr>
            </w:pPr>
          </w:p>
        </w:tc>
        <w:tc>
          <w:tcPr>
            <w:tcW w:w="5994" w:type="dxa"/>
            <w:tcBorders>
              <w:top w:val="single" w:color="auto" w:sz="4" w:space="0"/>
              <w:left w:val="single" w:color="auto" w:sz="4" w:space="0"/>
            </w:tcBorders>
            <w:shd w:val="clear" w:color="auto" w:fill="FFFFFF"/>
            <w:vAlign w:val="bottom"/>
          </w:tcPr>
          <w:p>
            <w:pPr>
              <w:pStyle w:val="19"/>
              <w:spacing w:line="317"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（2）按照服务范围制定服务方案，服务方案完整周全得5分，存在漏项等每项扣1分，直到扣完为止，横向评比；</w:t>
            </w:r>
          </w:p>
        </w:tc>
        <w:tc>
          <w:tcPr>
            <w:tcW w:w="692" w:type="dxa"/>
            <w:tcBorders>
              <w:top w:val="single" w:color="auto" w:sz="4" w:space="0"/>
              <w:left w:val="single" w:color="auto" w:sz="4" w:space="0"/>
              <w:right w:val="single" w:color="auto" w:sz="4" w:space="0"/>
            </w:tcBorders>
            <w:shd w:val="clear" w:color="auto" w:fill="FFFFFF"/>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5</w:t>
            </w:r>
          </w:p>
        </w:tc>
      </w:tr>
      <w:tr>
        <w:tblPrEx>
          <w:tblCellMar>
            <w:top w:w="0" w:type="dxa"/>
            <w:left w:w="10" w:type="dxa"/>
            <w:bottom w:w="0" w:type="dxa"/>
            <w:right w:w="10" w:type="dxa"/>
          </w:tblCellMar>
        </w:tblPrEx>
        <w:trPr>
          <w:trHeight w:val="703" w:hRule="exact"/>
          <w:jc w:val="center"/>
        </w:trPr>
        <w:tc>
          <w:tcPr>
            <w:tcW w:w="1257" w:type="dxa"/>
            <w:vMerge w:val="continue"/>
            <w:tcBorders>
              <w:left w:val="single" w:color="auto" w:sz="4" w:space="0"/>
            </w:tcBorders>
            <w:shd w:val="clear" w:color="auto" w:fill="FFFFFF"/>
          </w:tcPr>
          <w:p>
            <w:pPr>
              <w:pStyle w:val="19"/>
              <w:spacing w:before="100"/>
              <w:jc w:val="center"/>
              <w:rPr>
                <w:rFonts w:ascii="仿宋_GB2312" w:eastAsia="仿宋_GB2312" w:hAnsiTheme="minorHAnsi" w:cstheme="minorBidi"/>
                <w:sz w:val="24"/>
                <w:szCs w:val="24"/>
                <w:lang w:val="en-US" w:eastAsia="zh-CN" w:bidi="ar-SA"/>
              </w:rPr>
            </w:pPr>
          </w:p>
        </w:tc>
        <w:tc>
          <w:tcPr>
            <w:tcW w:w="1694" w:type="dxa"/>
            <w:vMerge w:val="continue"/>
            <w:tcBorders>
              <w:left w:val="single" w:color="auto" w:sz="4" w:space="0"/>
            </w:tcBorders>
            <w:shd w:val="clear" w:color="auto" w:fill="FFFFFF"/>
            <w:vAlign w:val="center"/>
          </w:tcPr>
          <w:p>
            <w:pPr>
              <w:rPr>
                <w:rFonts w:ascii="仿宋_GB2312" w:eastAsia="仿宋_GB2312"/>
                <w:sz w:val="24"/>
              </w:rPr>
            </w:pPr>
          </w:p>
        </w:tc>
        <w:tc>
          <w:tcPr>
            <w:tcW w:w="5994" w:type="dxa"/>
            <w:tcBorders>
              <w:top w:val="single" w:color="auto" w:sz="4" w:space="0"/>
              <w:left w:val="single" w:color="auto" w:sz="4" w:space="0"/>
            </w:tcBorders>
            <w:shd w:val="clear" w:color="auto" w:fill="FFFFFF"/>
            <w:vAlign w:val="bottom"/>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（3）服务方案或服务计划的响应性优于竞争性谈判文件要求的，每响应一项加1分，最多加5分。</w:t>
            </w:r>
          </w:p>
        </w:tc>
        <w:tc>
          <w:tcPr>
            <w:tcW w:w="692" w:type="dxa"/>
            <w:tcBorders>
              <w:top w:val="single" w:color="auto" w:sz="4" w:space="0"/>
              <w:left w:val="single" w:color="auto" w:sz="4" w:space="0"/>
              <w:right w:val="single" w:color="auto" w:sz="4" w:space="0"/>
            </w:tcBorders>
            <w:shd w:val="clear" w:color="auto" w:fill="FFFFFF"/>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5</w:t>
            </w:r>
          </w:p>
        </w:tc>
      </w:tr>
      <w:tr>
        <w:tblPrEx>
          <w:tblCellMar>
            <w:top w:w="0" w:type="dxa"/>
            <w:left w:w="10" w:type="dxa"/>
            <w:bottom w:w="0" w:type="dxa"/>
            <w:right w:w="10" w:type="dxa"/>
          </w:tblCellMar>
        </w:tblPrEx>
        <w:trPr>
          <w:trHeight w:val="738" w:hRule="exact"/>
          <w:jc w:val="center"/>
        </w:trPr>
        <w:tc>
          <w:tcPr>
            <w:tcW w:w="1257" w:type="dxa"/>
            <w:tcBorders>
              <w:top w:val="single" w:color="auto" w:sz="4" w:space="0"/>
              <w:left w:val="single" w:color="auto" w:sz="4" w:space="0"/>
            </w:tcBorders>
            <w:shd w:val="clear" w:color="auto" w:fill="FFFFFF"/>
            <w:vAlign w:val="center"/>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2</w:t>
            </w:r>
          </w:p>
        </w:tc>
        <w:tc>
          <w:tcPr>
            <w:tcW w:w="1694" w:type="dxa"/>
            <w:tcBorders>
              <w:top w:val="single" w:color="auto" w:sz="4" w:space="0"/>
              <w:left w:val="single" w:color="auto" w:sz="4" w:space="0"/>
            </w:tcBorders>
            <w:shd w:val="clear" w:color="auto" w:fill="FFFFFF"/>
            <w:vAlign w:val="center"/>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职业道德评定</w:t>
            </w:r>
          </w:p>
        </w:tc>
        <w:tc>
          <w:tcPr>
            <w:tcW w:w="5994" w:type="dxa"/>
            <w:tcBorders>
              <w:top w:val="single" w:color="auto" w:sz="4" w:space="0"/>
              <w:left w:val="single" w:color="auto" w:sz="4" w:space="0"/>
            </w:tcBorders>
            <w:shd w:val="clear" w:color="auto" w:fill="FFFFFF"/>
            <w:vAlign w:val="bottom"/>
          </w:tcPr>
          <w:p>
            <w:pPr>
              <w:pStyle w:val="19"/>
              <w:spacing w:line="31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申请人有无行政处罚或行业处分等情况的证明材料，拟派工作人员有无行政处罚或行业处分等情况的证明材料。</w:t>
            </w:r>
          </w:p>
        </w:tc>
        <w:tc>
          <w:tcPr>
            <w:tcW w:w="692" w:type="dxa"/>
            <w:tcBorders>
              <w:top w:val="single" w:color="auto" w:sz="4" w:space="0"/>
              <w:left w:val="single" w:color="auto" w:sz="4" w:space="0"/>
              <w:right w:val="single" w:color="auto" w:sz="4" w:space="0"/>
            </w:tcBorders>
            <w:shd w:val="clear" w:color="auto" w:fill="FFFFFF"/>
            <w:vAlign w:val="center"/>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10</w:t>
            </w:r>
          </w:p>
        </w:tc>
      </w:tr>
      <w:tr>
        <w:tblPrEx>
          <w:tblCellMar>
            <w:top w:w="0" w:type="dxa"/>
            <w:left w:w="10" w:type="dxa"/>
            <w:bottom w:w="0" w:type="dxa"/>
            <w:right w:w="10" w:type="dxa"/>
          </w:tblCellMar>
        </w:tblPrEx>
        <w:trPr>
          <w:trHeight w:val="1004" w:hRule="exact"/>
          <w:jc w:val="center"/>
        </w:trPr>
        <w:tc>
          <w:tcPr>
            <w:tcW w:w="1257" w:type="dxa"/>
            <w:tcBorders>
              <w:top w:val="single" w:color="auto" w:sz="4" w:space="0"/>
              <w:left w:val="single" w:color="auto" w:sz="4" w:space="0"/>
              <w:bottom w:val="single" w:color="auto" w:sz="4" w:space="0"/>
            </w:tcBorders>
            <w:shd w:val="clear" w:color="auto" w:fill="FFFFFF"/>
          </w:tcPr>
          <w:p>
            <w:pPr>
              <w:pStyle w:val="19"/>
              <w:spacing w:before="80"/>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3</w:t>
            </w:r>
          </w:p>
        </w:tc>
        <w:tc>
          <w:tcPr>
            <w:tcW w:w="1694" w:type="dxa"/>
            <w:tcBorders>
              <w:top w:val="single" w:color="auto" w:sz="4" w:space="0"/>
              <w:left w:val="single" w:color="auto" w:sz="4" w:space="0"/>
              <w:bottom w:val="single" w:color="auto" w:sz="4" w:space="0"/>
            </w:tcBorders>
            <w:shd w:val="clear" w:color="auto" w:fill="FFFFFF"/>
          </w:tcPr>
          <w:p>
            <w:pPr>
              <w:pStyle w:val="19"/>
              <w:spacing w:before="140"/>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服务计划及承诺</w:t>
            </w:r>
          </w:p>
        </w:tc>
        <w:tc>
          <w:tcPr>
            <w:tcW w:w="5994" w:type="dxa"/>
            <w:tcBorders>
              <w:top w:val="single" w:color="auto" w:sz="4" w:space="0"/>
              <w:left w:val="single" w:color="auto" w:sz="4" w:space="0"/>
              <w:bottom w:val="single" w:color="auto" w:sz="4" w:space="0"/>
            </w:tcBorders>
            <w:shd w:val="clear" w:color="auto" w:fill="FFFFFF"/>
            <w:vAlign w:val="bottom"/>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服务方案和计划、服务承诺以及违约责任设定。分档评分：评价为优得8〜10分； 评价为良得5〜7分；评价为中得1〜4分；评价为差不得分。</w:t>
            </w:r>
          </w:p>
        </w:tc>
        <w:tc>
          <w:tcPr>
            <w:tcW w:w="692" w:type="dxa"/>
            <w:tcBorders>
              <w:top w:val="single" w:color="auto" w:sz="4" w:space="0"/>
              <w:left w:val="single" w:color="auto" w:sz="4" w:space="0"/>
              <w:bottom w:val="single" w:color="auto" w:sz="4" w:space="0"/>
              <w:right w:val="single" w:color="auto" w:sz="4" w:space="0"/>
            </w:tcBorders>
            <w:shd w:val="clear" w:color="auto" w:fill="FFFFFF"/>
          </w:tcPr>
          <w:p>
            <w:pPr>
              <w:pStyle w:val="19"/>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10</w:t>
            </w:r>
          </w:p>
        </w:tc>
      </w:tr>
    </w:tbl>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13.4.2商务得分（10%）</w:t>
      </w:r>
    </w:p>
    <w:tbl>
      <w:tblPr>
        <w:tblStyle w:val="8"/>
        <w:tblW w:w="9818" w:type="dxa"/>
        <w:jc w:val="center"/>
        <w:tblLayout w:type="fixed"/>
        <w:tblCellMar>
          <w:top w:w="0" w:type="dxa"/>
          <w:left w:w="10" w:type="dxa"/>
          <w:bottom w:w="0" w:type="dxa"/>
          <w:right w:w="10" w:type="dxa"/>
        </w:tblCellMar>
      </w:tblPr>
      <w:tblGrid>
        <w:gridCol w:w="979"/>
        <w:gridCol w:w="2067"/>
        <w:gridCol w:w="5946"/>
        <w:gridCol w:w="826"/>
      </w:tblGrid>
      <w:tr>
        <w:trPr>
          <w:trHeight w:val="618" w:hRule="exact"/>
          <w:jc w:val="center"/>
        </w:trPr>
        <w:tc>
          <w:tcPr>
            <w:tcW w:w="979" w:type="dxa"/>
            <w:tcBorders>
              <w:top w:val="single" w:color="auto" w:sz="4" w:space="0"/>
              <w:left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序号</w:t>
            </w:r>
          </w:p>
        </w:tc>
        <w:tc>
          <w:tcPr>
            <w:tcW w:w="2067" w:type="dxa"/>
            <w:tcBorders>
              <w:top w:val="single" w:color="auto" w:sz="4" w:space="0"/>
              <w:left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评审项目</w:t>
            </w:r>
          </w:p>
        </w:tc>
        <w:tc>
          <w:tcPr>
            <w:tcW w:w="5946" w:type="dxa"/>
            <w:tcBorders>
              <w:top w:val="single" w:color="auto" w:sz="4" w:space="0"/>
              <w:left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评审标准</w:t>
            </w:r>
          </w:p>
        </w:tc>
        <w:tc>
          <w:tcPr>
            <w:tcW w:w="826" w:type="dxa"/>
            <w:tcBorders>
              <w:top w:val="single" w:color="auto" w:sz="4" w:space="0"/>
              <w:left w:val="single" w:color="auto" w:sz="4" w:space="0"/>
              <w:right w:val="single" w:color="auto" w:sz="4" w:space="0"/>
            </w:tcBorders>
            <w:shd w:val="clear" w:color="auto" w:fill="FFFFFF"/>
            <w:vAlign w:val="center"/>
          </w:tcPr>
          <w:p>
            <w:pPr>
              <w:pStyle w:val="19"/>
              <w:spacing w:line="302" w:lineRule="exact"/>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分值</w:t>
            </w:r>
          </w:p>
        </w:tc>
      </w:tr>
      <w:tr>
        <w:tblPrEx>
          <w:tblCellMar>
            <w:top w:w="0" w:type="dxa"/>
            <w:left w:w="10" w:type="dxa"/>
            <w:bottom w:w="0" w:type="dxa"/>
            <w:right w:w="10" w:type="dxa"/>
          </w:tblCellMar>
        </w:tblPrEx>
        <w:trPr>
          <w:trHeight w:val="1193" w:hRule="exact"/>
          <w:jc w:val="center"/>
        </w:trPr>
        <w:tc>
          <w:tcPr>
            <w:tcW w:w="979" w:type="dxa"/>
            <w:tcBorders>
              <w:top w:val="single" w:color="auto" w:sz="4" w:space="0"/>
              <w:left w:val="single" w:color="auto" w:sz="4" w:space="0"/>
            </w:tcBorders>
            <w:shd w:val="clear" w:color="auto" w:fill="FFFFFF"/>
            <w:vAlign w:val="center"/>
          </w:tcPr>
          <w:p>
            <w:pPr>
              <w:pStyle w:val="19"/>
              <w:spacing w:line="302" w:lineRule="exact"/>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1</w:t>
            </w:r>
          </w:p>
        </w:tc>
        <w:tc>
          <w:tcPr>
            <w:tcW w:w="2067" w:type="dxa"/>
            <w:tcBorders>
              <w:top w:val="single" w:color="auto" w:sz="4" w:space="0"/>
              <w:left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各类业绩证明材料</w:t>
            </w:r>
          </w:p>
        </w:tc>
        <w:tc>
          <w:tcPr>
            <w:tcW w:w="5946" w:type="dxa"/>
            <w:tcBorders>
              <w:top w:val="single" w:color="auto" w:sz="4" w:space="0"/>
              <w:left w:val="single" w:color="auto" w:sz="4" w:space="0"/>
            </w:tcBorders>
            <w:shd w:val="clear" w:color="auto" w:fill="FFFFFF"/>
          </w:tcPr>
          <w:p>
            <w:pPr>
              <w:pStyle w:val="19"/>
              <w:spacing w:line="302" w:lineRule="exact"/>
              <w:jc w:val="left"/>
              <w:rPr>
                <w:rFonts w:ascii="仿宋_GB2312" w:eastAsia="仿宋_GB2312" w:hAnsiTheme="minorHAnsi" w:cstheme="minorBidi"/>
                <w:sz w:val="24"/>
                <w:szCs w:val="24"/>
                <w:lang w:val="en-US" w:eastAsia="zh-CN" w:bidi="ar-SA"/>
              </w:rPr>
            </w:pPr>
          </w:p>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申请人最近三年以来的类似业绩证明材料，提供1个不得分，2个得1分，3个得2分，以此类推，最多得5分</w:t>
            </w:r>
          </w:p>
        </w:tc>
        <w:tc>
          <w:tcPr>
            <w:tcW w:w="826" w:type="dxa"/>
            <w:tcBorders>
              <w:top w:val="single" w:color="auto" w:sz="4" w:space="0"/>
              <w:left w:val="single" w:color="auto" w:sz="4" w:space="0"/>
              <w:right w:val="single" w:color="auto" w:sz="4" w:space="0"/>
            </w:tcBorders>
            <w:shd w:val="clear" w:color="auto" w:fill="FFFFFF"/>
            <w:vAlign w:val="center"/>
          </w:tcPr>
          <w:p>
            <w:pPr>
              <w:pStyle w:val="19"/>
              <w:spacing w:line="302" w:lineRule="exact"/>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5</w:t>
            </w:r>
          </w:p>
        </w:tc>
      </w:tr>
      <w:tr>
        <w:tblPrEx>
          <w:tblCellMar>
            <w:top w:w="0" w:type="dxa"/>
            <w:left w:w="10" w:type="dxa"/>
            <w:bottom w:w="0" w:type="dxa"/>
            <w:right w:w="10" w:type="dxa"/>
          </w:tblCellMar>
        </w:tblPrEx>
        <w:trPr>
          <w:trHeight w:val="646" w:hRule="exact"/>
          <w:jc w:val="center"/>
        </w:trPr>
        <w:tc>
          <w:tcPr>
            <w:tcW w:w="979" w:type="dxa"/>
            <w:tcBorders>
              <w:top w:val="single" w:color="auto" w:sz="4" w:space="0"/>
              <w:left w:val="single" w:color="auto" w:sz="4" w:space="0"/>
              <w:bottom w:val="single" w:color="auto" w:sz="4" w:space="0"/>
            </w:tcBorders>
            <w:shd w:val="clear" w:color="auto" w:fill="FFFFFF"/>
            <w:vAlign w:val="center"/>
          </w:tcPr>
          <w:p>
            <w:pPr>
              <w:pStyle w:val="19"/>
              <w:spacing w:line="302" w:lineRule="exact"/>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2</w:t>
            </w:r>
          </w:p>
        </w:tc>
        <w:tc>
          <w:tcPr>
            <w:tcW w:w="2067" w:type="dxa"/>
            <w:tcBorders>
              <w:top w:val="single" w:color="auto" w:sz="4" w:space="0"/>
              <w:left w:val="single" w:color="auto" w:sz="4" w:space="0"/>
              <w:bottom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资信情况及履约能力</w:t>
            </w:r>
          </w:p>
        </w:tc>
        <w:tc>
          <w:tcPr>
            <w:tcW w:w="5946" w:type="dxa"/>
            <w:tcBorders>
              <w:top w:val="single" w:color="auto" w:sz="4" w:space="0"/>
              <w:left w:val="single" w:color="auto" w:sz="4" w:space="0"/>
              <w:bottom w:val="single" w:color="auto" w:sz="4" w:space="0"/>
            </w:tcBorders>
            <w:shd w:val="clear" w:color="auto" w:fill="FFFFFF"/>
            <w:vAlign w:val="center"/>
          </w:tcPr>
          <w:p>
            <w:pPr>
              <w:pStyle w:val="19"/>
              <w:spacing w:line="302" w:lineRule="exact"/>
              <w:jc w:val="left"/>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以资格证明文件要求，横向比较评分。</w:t>
            </w: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302" w:lineRule="exact"/>
              <w:jc w:val="center"/>
              <w:rPr>
                <w:rFonts w:ascii="仿宋_GB2312" w:eastAsia="仿宋_GB2312" w:hAnsiTheme="minorHAnsi" w:cstheme="minorBidi"/>
                <w:sz w:val="24"/>
                <w:szCs w:val="24"/>
                <w:lang w:val="en-US" w:eastAsia="zh-CN" w:bidi="ar-SA"/>
              </w:rPr>
            </w:pPr>
            <w:r>
              <w:rPr>
                <w:rFonts w:hint="eastAsia" w:ascii="仿宋_GB2312" w:eastAsia="仿宋_GB2312" w:hAnsiTheme="minorHAnsi" w:cstheme="minorBidi"/>
                <w:sz w:val="24"/>
                <w:szCs w:val="24"/>
                <w:lang w:val="en-US" w:eastAsia="zh-CN" w:bidi="ar-SA"/>
              </w:rPr>
              <w:t>5</w:t>
            </w:r>
          </w:p>
        </w:tc>
      </w:tr>
    </w:tbl>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13.4.3报价得分（50%）</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（1）竞谈人通过“背靠背”方式进行价格谈判。</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（2）评分原则（报价均指最终报价）</w:t>
      </w:r>
    </w:p>
    <w:p>
      <w:pPr>
        <w:spacing w:line="440" w:lineRule="exact"/>
        <w:ind w:firstLine="480" w:firstLineChars="200"/>
        <w:rPr>
          <w:rFonts w:ascii="Arial" w:hAnsi="Arial" w:eastAsia="仿宋_GB2312" w:cs="Arial"/>
          <w:sz w:val="24"/>
        </w:rPr>
      </w:pPr>
      <w:r>
        <w:rPr>
          <w:rFonts w:hint="eastAsia" w:ascii="仿宋_GB2312" w:hAnsi="仿宋_GB2312" w:eastAsia="仿宋_GB2312" w:cs="仿宋_GB2312"/>
          <w:sz w:val="24"/>
        </w:rPr>
        <w:t>以进入详细评审的申请人以所有参报申请人的最低报价为基准价，基准价对应分值为50分，申请人报价等于基准价得5</w:t>
      </w:r>
      <w:r>
        <w:rPr>
          <w:rFonts w:ascii="仿宋_GB2312" w:hAnsi="仿宋_GB2312" w:eastAsia="仿宋_GB2312" w:cs="仿宋_GB2312"/>
          <w:sz w:val="24"/>
        </w:rPr>
        <w:t>0</w:t>
      </w:r>
      <w:r>
        <w:rPr>
          <w:rFonts w:hint="eastAsia" w:ascii="仿宋_GB2312" w:hAnsi="仿宋_GB2312" w:eastAsia="仿宋_GB2312" w:cs="仿宋_GB2312"/>
          <w:sz w:val="24"/>
        </w:rPr>
        <w:t>分；每高于基准价1%扣</w:t>
      </w:r>
      <w:r>
        <w:rPr>
          <w:rFonts w:ascii="仿宋_GB2312" w:hAnsi="仿宋_GB2312" w:eastAsia="仿宋_GB2312" w:cs="仿宋_GB2312"/>
          <w:sz w:val="24"/>
        </w:rPr>
        <w:t>1</w:t>
      </w:r>
      <w:r>
        <w:rPr>
          <w:rFonts w:hint="eastAsia" w:ascii="仿宋_GB2312" w:hAnsi="仿宋_GB2312" w:eastAsia="仿宋_GB2312" w:cs="仿宋_GB2312"/>
          <w:sz w:val="24"/>
        </w:rPr>
        <w:t>分，扣完为止。</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13.5推荐原则</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次谈判采用综合评分法，谈判小组按评审后综合得分由高到低顺序推荐1～3名成交候选人，总得分相同的，按谈判报价得分由高到低顺序排列；总得分相同、报价得分相同，按技术得分由高到低顺序排列；总得分相同、报价得分相同、技术得分均相同的，由谈判小组不记名投票推荐。</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14.谈判过程的保密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在谈判过程中，谈判的任何一方不得透露与谈判有关的其他申请人的技术资料、价格和其他信息。谈判开始后，凡是属于审查、澄清、谈判和比较的有关资料以及成交建议均不向申请人或其他人员透露。</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15.终止谈判的情形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出现下列情形之一的，竞谈人将终止竞争性谈判或重新开展采购活动：</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（1）因情况变化，不再符合规定的竞争性谈判适用情形的；</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（2）出现影响竞争性谈判公平、公正的违规、违纪或违法行为的。</w:t>
      </w:r>
    </w:p>
    <w:p>
      <w:pPr>
        <w:spacing w:before="120" w:beforeLines="50" w:after="120" w:after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六、成交通知书和合同授予</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16.成交通知书</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16.1竞谈人根据谈判小组出具的评审报告确定最终成交人。</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16.2最终成交人确定后，竞谈人向最终成交人发出成交通知书。</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16.3成交通知书是合同的组成部分。</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16.4成交通知书对竞谈人和最终成交人均具有法律约束力。</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16.5若发现谈判申请人有弄虚作假的情形，竞谈人有权取消其成交资格，并将其列入黑名单。</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16.6若最终成交人被取消成交资格，本项目所有谈判申请人的排序依次递补。</w:t>
      </w:r>
    </w:p>
    <w:p>
      <w:pPr>
        <w:spacing w:line="440" w:lineRule="exact"/>
        <w:jc w:val="left"/>
        <w:rPr>
          <w:rFonts w:ascii="仿宋_GB2312" w:eastAsia="仿宋_GB2312"/>
          <w:sz w:val="24"/>
        </w:rPr>
      </w:pPr>
      <w:r>
        <w:rPr>
          <w:rFonts w:hint="eastAsia" w:ascii="仿宋_GB2312" w:hAnsi="仿宋_GB2312" w:eastAsia="仿宋_GB2312" w:cs="仿宋_GB2312"/>
          <w:sz w:val="24"/>
        </w:rPr>
        <w:t>16.7竞谈人不再</w:t>
      </w:r>
      <w:r>
        <w:rPr>
          <w:rFonts w:hint="eastAsia" w:ascii="仿宋_GB2312" w:eastAsia="仿宋_GB2312"/>
          <w:sz w:val="24"/>
        </w:rPr>
        <w:t>以书面方式通知未成交的申请人，且有权对未成交的申请人不作任何原因解释。</w:t>
      </w:r>
    </w:p>
    <w:p>
      <w:pPr>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17.签订合同</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17.1最终成交人按《成交通知书》要求与竞谈人商谈、签订合同。</w:t>
      </w:r>
    </w:p>
    <w:p>
      <w:pPr>
        <w:spacing w:line="440" w:lineRule="exact"/>
        <w:rPr>
          <w:rFonts w:ascii="仿宋_GB2312" w:hAnsi="仿宋_GB2312" w:eastAsia="仿宋_GB2312" w:cs="仿宋_GB2312"/>
          <w:b/>
          <w:bCs/>
          <w:sz w:val="44"/>
          <w:szCs w:val="44"/>
        </w:rPr>
      </w:pPr>
      <w:r>
        <w:rPr>
          <w:rFonts w:hint="eastAsia" w:ascii="仿宋_GB2312" w:hAnsi="仿宋_GB2312" w:eastAsia="仿宋_GB2312" w:cs="仿宋_GB2312"/>
          <w:sz w:val="24"/>
        </w:rPr>
        <w:t>17.2谈判文件（含补遗、修改和答疑文件）、最终成交人的响应文件（含其修改、澄清文件）、谈判承诺、成交通知书，均作为签订合同内容的依据。</w:t>
      </w:r>
    </w:p>
    <w:p>
      <w:pPr>
        <w:pStyle w:val="12"/>
        <w:spacing w:after="240" w:afterLines="100"/>
        <w:ind w:firstLine="0" w:firstLineChars="0"/>
        <w:jc w:val="center"/>
        <w:rPr>
          <w:rFonts w:ascii="黑体" w:hAnsi="黑体" w:eastAsia="黑体" w:cs="黑体"/>
          <w:b/>
          <w:sz w:val="28"/>
          <w:szCs w:val="28"/>
        </w:rPr>
      </w:pPr>
      <w:bookmarkStart w:id="2" w:name="_Toc32038_WPSOffice_Level1"/>
    </w:p>
    <w:p>
      <w:pPr>
        <w:pStyle w:val="12"/>
        <w:spacing w:after="240" w:afterLines="100"/>
        <w:ind w:firstLine="0" w:firstLineChars="0"/>
        <w:jc w:val="center"/>
        <w:rPr>
          <w:rFonts w:ascii="黑体" w:hAnsi="黑体" w:eastAsia="黑体" w:cs="黑体"/>
          <w:b/>
          <w:sz w:val="28"/>
          <w:szCs w:val="28"/>
        </w:rPr>
      </w:pPr>
      <w:r>
        <w:rPr>
          <w:rFonts w:hint="eastAsia" w:ascii="黑体" w:hAnsi="黑体" w:eastAsia="黑体" w:cs="黑体"/>
          <w:b/>
          <w:sz w:val="28"/>
          <w:szCs w:val="28"/>
        </w:rPr>
        <w:t>第三章 服务内容及要求</w:t>
      </w:r>
      <w:bookmarkEnd w:id="2"/>
    </w:p>
    <w:p>
      <w:pPr>
        <w:spacing w:before="120" w:beforeLines="50" w:after="120" w:afterLines="50" w:line="4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2"/>
          <w:szCs w:val="22"/>
        </w:rPr>
        <w:t>第一条乙方服务范围</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乙方依据国家及行业的规程、规范，甲方工程建设等方面管理文件，根据工程招投标文件、合同及费用等相关资料开展进行审计工作，主要内容包括：</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法人制执行情况、内部控制制度建设及执行情况、项目招投标制度及实施情况、合同管理制度及实施情况、工程进度控制情况、工程质量控制情况、建设资金来源和到位情况、工程投资控制情况、资金使用情况、财务管理制度及实施情况、货币资金管理情况等进行审计。</w:t>
      </w:r>
    </w:p>
    <w:p>
      <w:pPr>
        <w:pStyle w:val="22"/>
        <w:spacing w:after="0" w:line="502" w:lineRule="exact"/>
        <w:ind w:firstLine="442" w:firstLineChars="200"/>
        <w:rPr>
          <w:rFonts w:ascii="仿宋_GB2312" w:hAnsi="仿宋_GB2312" w:eastAsia="仿宋_GB2312" w:cs="仿宋_GB2312"/>
          <w:b/>
          <w:bCs/>
          <w:color w:val="auto"/>
          <w:sz w:val="22"/>
          <w:szCs w:val="22"/>
          <w:lang w:val="en-US" w:eastAsia="zh-CN" w:bidi="ar-SA"/>
        </w:rPr>
      </w:pPr>
      <w:r>
        <w:rPr>
          <w:rFonts w:hint="eastAsia" w:ascii="仿宋_GB2312" w:hAnsi="仿宋_GB2312" w:eastAsia="仿宋_GB2312" w:cs="仿宋_GB2312"/>
          <w:b/>
          <w:bCs/>
          <w:color w:val="auto"/>
          <w:sz w:val="22"/>
          <w:szCs w:val="22"/>
          <w:lang w:val="en-US" w:eastAsia="zh-CN" w:bidi="ar-SA"/>
        </w:rPr>
        <w:t>第二条乙方的义务</w:t>
      </w:r>
    </w:p>
    <w:p>
      <w:pPr>
        <w:spacing w:line="440" w:lineRule="exact"/>
        <w:ind w:firstLine="480" w:firstLineChars="200"/>
        <w:rPr>
          <w:rFonts w:ascii="仿宋_GB2312" w:hAnsi="仿宋_GB2312" w:eastAsia="仿宋_GB2312" w:cs="仿宋_GB2312"/>
          <w:sz w:val="24"/>
        </w:rPr>
      </w:pPr>
      <w:bookmarkStart w:id="3" w:name="bookmark197"/>
      <w:bookmarkEnd w:id="3"/>
      <w:r>
        <w:rPr>
          <w:rFonts w:hint="eastAsia" w:ascii="仿宋_GB2312" w:hAnsi="仿宋_GB2312" w:eastAsia="仿宋_GB2312" w:cs="仿宋_GB2312"/>
          <w:sz w:val="24"/>
        </w:rPr>
        <w:t>1.签订本合同后，乙方必须按照甲方要求的期限完成审计任务，除特殊情况外不得拖延审计期限。</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2.乙方不得将受托的业务再委托给第三方，如发生此类情况，即终止已签订的委托合同，由乙方退回甲方已支付的审计费，并赔偿由此而给甲方造成的损失。</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3.乙方应按国家有关法律法规和甲方的具体要求编写审计报告。</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4.乙方项目总协调负责人为履行本合同的权限为：负责履行本合同、主持项目审计团队工作。乙方更换项目负责人时，应提前7日向甲方书面报告，经甲方同意后方可更换。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5.在审计实施过程中应经常与甲方沟通信息，对审计中发现的重大事项应及时向甲方审计部门反映，协商解决。</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审计终结，乙方应将审计报告工作底稿的复印件、重要审核证据等资料整理报送甲方审计部门、建档，同时移交电子版相关资料。未经甲方允许，乙方不得将本项目的任何审计资料及相关审计成果提供给任何单位或个人，不得用于与本项目无关的任何商业行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7.在审计过程中，如因各项费用审减与对应合同的签订方发生经济纠纷，乙方应负责解释说明，提供相关证据材料，解决纠纷。</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8.如本项目需接受政府审计，乙方应积极配合甲方并提供必要的相关资料。</w:t>
      </w:r>
    </w:p>
    <w:p>
      <w:pPr>
        <w:spacing w:line="440" w:lineRule="exact"/>
        <w:ind w:firstLine="480" w:firstLineChars="200"/>
        <w:rPr>
          <w:rFonts w:ascii="仿宋" w:hAnsi="仿宋" w:eastAsia="仿宋" w:cs="仿宋"/>
          <w:kern w:val="0"/>
          <w:sz w:val="24"/>
        </w:rPr>
      </w:pPr>
      <w:r>
        <w:rPr>
          <w:rFonts w:hint="eastAsia" w:ascii="仿宋_GB2312" w:hAnsi="仿宋_GB2312" w:eastAsia="仿宋_GB2312" w:cs="仿宋_GB2312"/>
          <w:sz w:val="24"/>
        </w:rPr>
        <w:t>9.乙方必须对工作内容保密，并按甲方要求开展工作。</w:t>
      </w:r>
    </w:p>
    <w:p>
      <w:pPr>
        <w:pStyle w:val="22"/>
        <w:spacing w:after="0"/>
        <w:ind w:firstLine="442" w:firstLineChars="200"/>
        <w:rPr>
          <w:rFonts w:ascii="仿宋" w:hAnsi="仿宋" w:eastAsia="仿宋" w:cs="仿宋"/>
          <w:color w:val="auto"/>
          <w:kern w:val="0"/>
          <w:sz w:val="24"/>
          <w:szCs w:val="24"/>
          <w:lang w:val="en-US" w:eastAsia="zh-CN" w:bidi="ar-SA"/>
        </w:rPr>
      </w:pPr>
      <w:r>
        <w:rPr>
          <w:rFonts w:hint="eastAsia" w:ascii="仿宋_GB2312" w:hAnsi="仿宋_GB2312" w:eastAsia="仿宋_GB2312" w:cs="仿宋_GB2312"/>
          <w:b/>
          <w:bCs/>
          <w:color w:val="auto"/>
          <w:sz w:val="22"/>
          <w:szCs w:val="22"/>
          <w:lang w:val="en-US" w:eastAsia="zh-CN" w:bidi="ar-SA"/>
        </w:rPr>
        <w:t>第三条甲方的义务</w:t>
      </w:r>
    </w:p>
    <w:p>
      <w:pPr>
        <w:spacing w:line="440" w:lineRule="exact"/>
        <w:ind w:firstLine="480" w:firstLineChars="200"/>
        <w:rPr>
          <w:rFonts w:ascii="仿宋_GB2312" w:hAnsi="仿宋_GB2312" w:eastAsia="仿宋_GB2312" w:cs="仿宋_GB2312"/>
          <w:sz w:val="24"/>
        </w:rPr>
      </w:pPr>
      <w:bookmarkStart w:id="4" w:name="bookmark200"/>
      <w:bookmarkEnd w:id="4"/>
      <w:r>
        <w:rPr>
          <w:rFonts w:hint="eastAsia" w:ascii="仿宋_GB2312" w:hAnsi="仿宋_GB2312" w:eastAsia="仿宋_GB2312" w:cs="仿宋_GB2312"/>
          <w:sz w:val="24"/>
        </w:rPr>
        <w:t>1.为乙方提供必要的差旅办公条件和食宿，费用由甲方承担。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2.甲方应及时提供项目竣工财务决算审计必须的全部资料，并对其真实性、合法性、完整性负责。由于甲方提供的审计资料不真实、不合法、不及时，致使审计结果不当或延期提交审计报告，乙方不承担责任。</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3.负责解答乙方提出的项目竣工决算审计过程中的相关问题，及时协调各相关单位（施工单位或设备供应商、设计、监理、造价咨询服务方等）接受审计答疑。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4.对乙方提供的审计报告质量进行监督。</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5.按照本合同规定支付审计费用。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6.正确、合理使用审计报告。</w:t>
      </w:r>
    </w:p>
    <w:p>
      <w:pPr>
        <w:pStyle w:val="22"/>
        <w:spacing w:after="0" w:line="524" w:lineRule="exact"/>
        <w:ind w:firstLine="480" w:firstLineChars="200"/>
        <w:rPr>
          <w:rFonts w:ascii="仿宋" w:hAnsi="仿宋" w:eastAsia="仿宋" w:cs="仿宋"/>
          <w:color w:val="auto"/>
          <w:kern w:val="0"/>
          <w:sz w:val="24"/>
          <w:szCs w:val="24"/>
          <w:lang w:val="en-US" w:eastAsia="zh-CN" w:bidi="ar-SA"/>
        </w:rPr>
        <w:sectPr>
          <w:pgSz w:w="11900" w:h="16840"/>
          <w:pgMar w:top="1495" w:right="1477" w:bottom="1560" w:left="1667" w:header="0" w:footer="3" w:gutter="0"/>
          <w:cols w:space="720" w:num="1"/>
          <w:docGrid w:linePitch="360" w:charSpace="0"/>
        </w:sectPr>
      </w:pPr>
    </w:p>
    <w:p>
      <w:pPr>
        <w:rPr>
          <w:rFonts w:ascii="黑体" w:hAnsi="黑体" w:eastAsia="黑体" w:cs="黑体"/>
          <w:b/>
          <w:sz w:val="28"/>
          <w:szCs w:val="28"/>
        </w:rPr>
      </w:pPr>
      <w:bookmarkStart w:id="5" w:name="_Toc4700_WPSOffice_Level1"/>
    </w:p>
    <w:bookmarkEnd w:id="5"/>
    <w:p>
      <w:pPr>
        <w:widowControl/>
        <w:jc w:val="center"/>
        <w:rPr>
          <w:rFonts w:ascii="黑体" w:hAnsi="黑体" w:eastAsia="黑体" w:cs="黑体"/>
          <w:sz w:val="28"/>
          <w:szCs w:val="28"/>
        </w:rPr>
      </w:pPr>
      <w:bookmarkStart w:id="6" w:name="_Toc17258_WPSOffice_Level1"/>
      <w:r>
        <w:rPr>
          <w:rFonts w:hint="eastAsia" w:ascii="黑体" w:hAnsi="黑体" w:eastAsia="黑体" w:cs="黑体"/>
          <w:sz w:val="28"/>
          <w:szCs w:val="28"/>
        </w:rPr>
        <w:t>第五章 响应文件格式</w:t>
      </w:r>
      <w:bookmarkEnd w:id="6"/>
    </w:p>
    <w:p>
      <w:pPr>
        <w:ind w:left="160" w:leftChars="76" w:firstLine="600" w:firstLineChars="250"/>
        <w:rPr>
          <w:rFonts w:ascii="仿宋_GB2312" w:eastAsia="仿宋_GB2312"/>
          <w:bCs/>
          <w:sz w:val="24"/>
        </w:rPr>
      </w:pPr>
      <w:r>
        <w:rPr>
          <w:rFonts w:hint="eastAsia" w:ascii="仿宋_GB2312" w:eastAsia="仿宋_GB2312"/>
          <w:bCs/>
          <w:sz w:val="24"/>
        </w:rPr>
        <w:t>1.商务部分主要格式</w:t>
      </w:r>
    </w:p>
    <w:p>
      <w:pPr>
        <w:ind w:left="160" w:leftChars="76" w:firstLine="800" w:firstLineChars="250"/>
        <w:rPr>
          <w:rFonts w:ascii="仿宋_GB2312" w:eastAsia="仿宋_GB2312"/>
          <w:bCs/>
          <w:sz w:val="32"/>
          <w:szCs w:val="32"/>
        </w:rPr>
      </w:pPr>
    </w:p>
    <w:p>
      <w:pPr>
        <w:ind w:left="160" w:leftChars="76" w:firstLine="803" w:firstLineChars="250"/>
        <w:jc w:val="right"/>
        <w:rPr>
          <w:rFonts w:ascii="仿宋_GB2312" w:eastAsia="仿宋_GB2312"/>
          <w:b/>
          <w:sz w:val="32"/>
          <w:szCs w:val="32"/>
        </w:rPr>
      </w:pPr>
      <w:bookmarkStart w:id="7" w:name="_Toc10523_WPSOffice_Level2"/>
      <w:r>
        <w:rPr>
          <w:rFonts w:hint="eastAsia" w:ascii="仿宋_GB2312" w:eastAsia="仿宋_GB2312"/>
          <w:b/>
          <w:sz w:val="32"/>
          <w:szCs w:val="32"/>
        </w:rPr>
        <w:t>（__本）</w:t>
      </w:r>
      <w:bookmarkEnd w:id="7"/>
    </w:p>
    <w:p>
      <w:pPr>
        <w:rPr>
          <w:rFonts w:ascii="仿宋_GB2312" w:hAnsi="仿宋_GB2312" w:eastAsia="仿宋_GB2312" w:cs="仿宋_GB2312"/>
          <w:sz w:val="32"/>
          <w:szCs w:val="32"/>
        </w:rPr>
      </w:pPr>
    </w:p>
    <w:p>
      <w:pPr>
        <w:ind w:left="160" w:leftChars="76"/>
        <w:jc w:val="center"/>
        <w:rPr>
          <w:rFonts w:ascii="仿宋_GB2312" w:hAnsi="仿宋_GB2312" w:eastAsia="仿宋_GB2312" w:cs="仿宋_GB2312"/>
          <w:sz w:val="32"/>
          <w:szCs w:val="32"/>
        </w:rPr>
      </w:pPr>
      <w:bookmarkStart w:id="8" w:name="_Toc26970_WPSOffice_Level2"/>
      <w:r>
        <w:rPr>
          <w:rFonts w:hint="eastAsia" w:ascii="仿宋_GB2312" w:hAnsi="仿宋_GB2312" w:eastAsia="仿宋_GB2312" w:cs="仿宋_GB2312"/>
          <w:sz w:val="32"/>
          <w:szCs w:val="32"/>
          <w:lang w:eastAsia="zh-CN"/>
        </w:rPr>
        <w:t>云南能投联合外经股份有限</w:t>
      </w:r>
      <w:r>
        <w:rPr>
          <w:rFonts w:hint="eastAsia" w:ascii="仿宋_GB2312" w:hAnsi="仿宋_GB2312" w:eastAsia="仿宋_GB2312" w:cs="仿宋_GB2312"/>
          <w:sz w:val="32"/>
          <w:szCs w:val="32"/>
        </w:rPr>
        <w:t>公司工程</w:t>
      </w:r>
    </w:p>
    <w:p>
      <w:pPr>
        <w:ind w:left="160" w:leftChars="76"/>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专项审计服务项目</w:t>
      </w:r>
      <w:bookmarkEnd w:id="8"/>
    </w:p>
    <w:p>
      <w:pPr>
        <w:rPr>
          <w:rFonts w:ascii="仿宋_GB2312" w:hAnsi="仿宋_GB2312" w:eastAsia="仿宋_GB2312" w:cs="仿宋_GB2312"/>
          <w:sz w:val="32"/>
          <w:szCs w:val="32"/>
        </w:rPr>
      </w:pPr>
    </w:p>
    <w:p>
      <w:pPr>
        <w:ind w:left="160" w:leftChars="76"/>
        <w:jc w:val="center"/>
        <w:rPr>
          <w:rFonts w:ascii="仿宋_GB2312" w:hAnsi="仿宋_GB2312" w:eastAsia="仿宋_GB2312" w:cs="仿宋_GB2312"/>
          <w:sz w:val="32"/>
          <w:szCs w:val="32"/>
        </w:rPr>
      </w:pPr>
    </w:p>
    <w:p>
      <w:pPr>
        <w:jc w:val="center"/>
        <w:rPr>
          <w:rFonts w:ascii="黑体" w:hAnsi="黑体" w:eastAsia="黑体"/>
          <w:sz w:val="84"/>
          <w:szCs w:val="84"/>
        </w:rPr>
      </w:pPr>
      <w:bookmarkStart w:id="9" w:name="_Toc26380_WPSOffice_Level2"/>
      <w:r>
        <w:rPr>
          <w:rFonts w:hint="eastAsia" w:ascii="黑体" w:hAnsi="黑体" w:eastAsia="黑体"/>
          <w:sz w:val="72"/>
          <w:szCs w:val="72"/>
        </w:rPr>
        <w:t>竞争性谈判申请文件</w:t>
      </w:r>
      <w:bookmarkEnd w:id="9"/>
    </w:p>
    <w:p>
      <w:pPr>
        <w:rPr>
          <w:rFonts w:ascii="黑体" w:hAnsi="黑体" w:eastAsia="黑体"/>
          <w:sz w:val="84"/>
          <w:szCs w:val="84"/>
        </w:rPr>
      </w:pPr>
    </w:p>
    <w:p>
      <w:pPr>
        <w:ind w:left="160" w:leftChars="76" w:firstLine="700" w:firstLineChars="250"/>
        <w:jc w:val="left"/>
        <w:rPr>
          <w:rFonts w:ascii="仿宋_GB2312" w:eastAsia="仿宋_GB2312"/>
          <w:sz w:val="28"/>
          <w:szCs w:val="28"/>
          <w:u w:val="single"/>
        </w:rPr>
      </w:pPr>
      <w:r>
        <w:rPr>
          <w:rFonts w:hint="eastAsia" w:ascii="仿宋_GB2312" w:eastAsia="仿宋_GB2312"/>
          <w:sz w:val="28"/>
          <w:szCs w:val="28"/>
        </w:rPr>
        <w:t>项目名称：</w:t>
      </w:r>
    </w:p>
    <w:p>
      <w:pPr>
        <w:ind w:left="160" w:leftChars="76" w:firstLine="700" w:firstLineChars="250"/>
        <w:jc w:val="left"/>
        <w:rPr>
          <w:rFonts w:ascii="仿宋_GB2312" w:eastAsia="仿宋_GB2312"/>
          <w:sz w:val="28"/>
          <w:szCs w:val="28"/>
          <w:u w:val="single"/>
        </w:rPr>
      </w:pPr>
      <w:r>
        <w:rPr>
          <w:rFonts w:hint="eastAsia" w:ascii="仿宋_GB2312" w:eastAsia="仿宋_GB2312"/>
          <w:sz w:val="28"/>
          <w:szCs w:val="28"/>
        </w:rPr>
        <w:t>公司名称（公章）：</w:t>
      </w:r>
    </w:p>
    <w:p>
      <w:pPr>
        <w:ind w:left="160" w:leftChars="76" w:firstLine="700" w:firstLineChars="250"/>
        <w:jc w:val="left"/>
        <w:rPr>
          <w:rFonts w:ascii="仿宋_GB2312" w:eastAsia="仿宋_GB2312"/>
          <w:sz w:val="28"/>
          <w:szCs w:val="28"/>
          <w:u w:val="single"/>
        </w:rPr>
      </w:pPr>
      <w:r>
        <w:rPr>
          <w:rFonts w:hint="eastAsia" w:ascii="仿宋_GB2312" w:eastAsia="仿宋_GB2312"/>
          <w:sz w:val="28"/>
          <w:szCs w:val="28"/>
        </w:rPr>
        <w:t>法定代表人或授权代表姓名（签字）：</w:t>
      </w:r>
    </w:p>
    <w:p>
      <w:pPr>
        <w:ind w:left="160" w:leftChars="76" w:firstLine="700" w:firstLineChars="250"/>
        <w:jc w:val="left"/>
        <w:rPr>
          <w:rFonts w:ascii="仿宋_GB2312" w:eastAsia="仿宋_GB2312"/>
          <w:sz w:val="28"/>
          <w:szCs w:val="28"/>
          <w:u w:val="single"/>
        </w:rPr>
      </w:pPr>
      <w:r>
        <w:rPr>
          <w:rFonts w:hint="eastAsia" w:ascii="仿宋_GB2312" w:eastAsia="仿宋_GB2312"/>
          <w:sz w:val="28"/>
          <w:szCs w:val="28"/>
        </w:rPr>
        <w:t>联系电话：</w:t>
      </w:r>
    </w:p>
    <w:p>
      <w:pPr>
        <w:ind w:left="160" w:leftChars="76" w:firstLine="700" w:firstLineChars="250"/>
        <w:jc w:val="left"/>
        <w:rPr>
          <w:rFonts w:hint="eastAsia" w:ascii="仿宋_GB2312" w:eastAsia="仿宋_GB2312"/>
          <w:sz w:val="28"/>
          <w:szCs w:val="28"/>
        </w:rPr>
      </w:pPr>
      <w:r>
        <w:rPr>
          <w:rFonts w:hint="eastAsia" w:ascii="仿宋_GB2312" w:eastAsia="仿宋_GB2312"/>
          <w:sz w:val="28"/>
          <w:szCs w:val="28"/>
        </w:rPr>
        <w:t>日    期：</w:t>
      </w:r>
    </w:p>
    <w:p>
      <w:pPr>
        <w:ind w:left="160" w:leftChars="76" w:firstLine="700" w:firstLineChars="250"/>
        <w:jc w:val="left"/>
        <w:rPr>
          <w:rFonts w:hint="eastAsia" w:ascii="仿宋_GB2312" w:eastAsia="仿宋_GB2312"/>
          <w:sz w:val="28"/>
          <w:szCs w:val="28"/>
        </w:rPr>
      </w:pPr>
    </w:p>
    <w:p>
      <w:pPr>
        <w:ind w:left="160" w:leftChars="76" w:firstLine="700" w:firstLineChars="250"/>
        <w:jc w:val="left"/>
        <w:rPr>
          <w:rFonts w:hint="eastAsia" w:ascii="仿宋_GB2312" w:eastAsia="仿宋_GB2312"/>
          <w:sz w:val="28"/>
          <w:szCs w:val="28"/>
        </w:rPr>
      </w:pPr>
    </w:p>
    <w:p>
      <w:pPr>
        <w:ind w:left="160" w:leftChars="76" w:firstLine="700" w:firstLineChars="250"/>
        <w:jc w:val="left"/>
        <w:rPr>
          <w:rFonts w:hint="eastAsia" w:ascii="仿宋_GB2312" w:eastAsia="仿宋_GB2312"/>
          <w:sz w:val="28"/>
          <w:szCs w:val="28"/>
        </w:rPr>
      </w:pPr>
    </w:p>
    <w:p>
      <w:pPr>
        <w:ind w:left="160" w:leftChars="76" w:firstLine="800" w:firstLineChars="250"/>
        <w:jc w:val="left"/>
        <w:rPr>
          <w:rFonts w:ascii="仿宋_GB2312" w:eastAsia="仿宋_GB2312"/>
          <w:sz w:val="32"/>
          <w:szCs w:val="32"/>
        </w:rPr>
      </w:pPr>
    </w:p>
    <w:p>
      <w:pPr>
        <w:pStyle w:val="20"/>
        <w:keepNext/>
        <w:keepLines/>
        <w:spacing w:after="120"/>
        <w:rPr>
          <w:sz w:val="30"/>
          <w:szCs w:val="30"/>
        </w:rPr>
      </w:pPr>
      <w:bookmarkStart w:id="10" w:name="bookmark226"/>
      <w:bookmarkEnd w:id="10"/>
      <w:bookmarkStart w:id="11" w:name="bookmark225"/>
      <w:bookmarkEnd w:id="11"/>
      <w:bookmarkStart w:id="12" w:name="bookmark223"/>
      <w:bookmarkEnd w:id="12"/>
      <w:bookmarkStart w:id="13" w:name="bookmark227"/>
      <w:bookmarkEnd w:id="13"/>
      <w:bookmarkStart w:id="14" w:name="bookmark224"/>
      <w:bookmarkEnd w:id="14"/>
      <w:bookmarkStart w:id="15" w:name="bookmark230"/>
      <w:bookmarkStart w:id="16" w:name="bookmark229"/>
      <w:bookmarkStart w:id="17" w:name="bookmark228"/>
      <w:bookmarkStart w:id="18" w:name="_Toc12848_WPSOffice_Level2"/>
      <w:bookmarkStart w:id="19" w:name="_Toc5269_WPSOffice_Level2"/>
      <w:r>
        <w:rPr>
          <w:b/>
          <w:bCs/>
          <w:color w:val="000000"/>
          <w:sz w:val="30"/>
          <w:szCs w:val="30"/>
        </w:rPr>
        <w:t>附件</w:t>
      </w:r>
      <w:r>
        <w:rPr>
          <w:rFonts w:hint="eastAsia"/>
          <w:b/>
          <w:bCs/>
          <w:color w:val="000000"/>
          <w:sz w:val="30"/>
          <w:szCs w:val="30"/>
          <w:lang w:val="en-US" w:eastAsia="zh-CN"/>
        </w:rPr>
        <w:t>一</w:t>
      </w:r>
      <w:r>
        <w:rPr>
          <w:b/>
          <w:bCs/>
          <w:color w:val="000000"/>
          <w:sz w:val="30"/>
          <w:szCs w:val="30"/>
        </w:rPr>
        <w:t>：项目报价表</w:t>
      </w:r>
      <w:bookmarkEnd w:id="15"/>
      <w:bookmarkEnd w:id="16"/>
      <w:bookmarkEnd w:id="17"/>
    </w:p>
    <w:tbl>
      <w:tblPr>
        <w:tblStyle w:val="8"/>
        <w:tblW w:w="8928" w:type="dxa"/>
        <w:jc w:val="center"/>
        <w:tblLayout w:type="fixed"/>
        <w:tblCellMar>
          <w:top w:w="0" w:type="dxa"/>
          <w:left w:w="10" w:type="dxa"/>
          <w:bottom w:w="0" w:type="dxa"/>
          <w:right w:w="10" w:type="dxa"/>
        </w:tblCellMar>
      </w:tblPr>
      <w:tblGrid>
        <w:gridCol w:w="2640"/>
        <w:gridCol w:w="1574"/>
        <w:gridCol w:w="1570"/>
        <w:gridCol w:w="1565"/>
        <w:gridCol w:w="1579"/>
      </w:tblGrid>
      <w:tr>
        <w:tblPrEx>
          <w:tblCellMar>
            <w:top w:w="0" w:type="dxa"/>
            <w:left w:w="10" w:type="dxa"/>
            <w:bottom w:w="0" w:type="dxa"/>
            <w:right w:w="10" w:type="dxa"/>
          </w:tblCellMar>
        </w:tblPrEx>
        <w:trPr>
          <w:trHeight w:val="461" w:hRule="exact"/>
          <w:jc w:val="center"/>
        </w:trPr>
        <w:tc>
          <w:tcPr>
            <w:tcW w:w="2640" w:type="dxa"/>
            <w:tcBorders>
              <w:top w:val="single" w:color="auto" w:sz="4" w:space="0"/>
              <w:left w:val="single" w:color="auto" w:sz="4" w:space="0"/>
            </w:tcBorders>
            <w:shd w:val="clear" w:color="auto" w:fill="FFFFFF"/>
            <w:vAlign w:val="center"/>
          </w:tcPr>
          <w:p>
            <w:pPr>
              <w:pStyle w:val="19"/>
              <w:jc w:val="center"/>
            </w:pPr>
            <w:r>
              <w:rPr>
                <w:color w:val="000000"/>
              </w:rPr>
              <w:t>项目名称</w:t>
            </w:r>
          </w:p>
        </w:tc>
        <w:tc>
          <w:tcPr>
            <w:tcW w:w="1574" w:type="dxa"/>
            <w:tcBorders>
              <w:top w:val="single" w:color="auto" w:sz="4" w:space="0"/>
              <w:left w:val="single" w:color="auto" w:sz="4" w:space="0"/>
            </w:tcBorders>
            <w:shd w:val="clear" w:color="auto" w:fill="FFFFFF"/>
            <w:vAlign w:val="center"/>
          </w:tcPr>
          <w:p>
            <w:pPr>
              <w:pStyle w:val="19"/>
              <w:jc w:val="left"/>
            </w:pPr>
            <w:r>
              <w:rPr>
                <w:color w:val="000000"/>
              </w:rPr>
              <w:t>不含税价（元）</w:t>
            </w:r>
          </w:p>
        </w:tc>
        <w:tc>
          <w:tcPr>
            <w:tcW w:w="1570" w:type="dxa"/>
            <w:tcBorders>
              <w:top w:val="single" w:color="auto" w:sz="4" w:space="0"/>
              <w:left w:val="single" w:color="auto" w:sz="4" w:space="0"/>
            </w:tcBorders>
            <w:shd w:val="clear" w:color="auto" w:fill="FFFFFF"/>
            <w:vAlign w:val="center"/>
          </w:tcPr>
          <w:p>
            <w:pPr>
              <w:pStyle w:val="19"/>
              <w:ind w:firstLine="240"/>
              <w:jc w:val="left"/>
            </w:pPr>
            <w:r>
              <w:rPr>
                <w:color w:val="000000"/>
              </w:rPr>
              <w:t>税率（%）</w:t>
            </w:r>
          </w:p>
        </w:tc>
        <w:tc>
          <w:tcPr>
            <w:tcW w:w="1565" w:type="dxa"/>
            <w:tcBorders>
              <w:top w:val="single" w:color="auto" w:sz="4" w:space="0"/>
              <w:left w:val="single" w:color="auto" w:sz="4" w:space="0"/>
            </w:tcBorders>
            <w:shd w:val="clear" w:color="auto" w:fill="FFFFFF"/>
            <w:vAlign w:val="center"/>
          </w:tcPr>
          <w:p>
            <w:pPr>
              <w:pStyle w:val="19"/>
              <w:ind w:firstLine="240"/>
              <w:jc w:val="left"/>
            </w:pPr>
            <w:r>
              <w:rPr>
                <w:color w:val="000000"/>
              </w:rPr>
              <w:t>税额（元）</w:t>
            </w:r>
          </w:p>
        </w:tc>
        <w:tc>
          <w:tcPr>
            <w:tcW w:w="1579" w:type="dxa"/>
            <w:tcBorders>
              <w:top w:val="single" w:color="auto" w:sz="4" w:space="0"/>
              <w:left w:val="single" w:color="auto" w:sz="4" w:space="0"/>
              <w:right w:val="single" w:color="auto" w:sz="4" w:space="0"/>
            </w:tcBorders>
            <w:shd w:val="clear" w:color="auto" w:fill="FFFFFF"/>
            <w:vAlign w:val="center"/>
          </w:tcPr>
          <w:p>
            <w:pPr>
              <w:pStyle w:val="19"/>
              <w:jc w:val="left"/>
            </w:pPr>
            <w:r>
              <w:rPr>
                <w:color w:val="000000"/>
              </w:rPr>
              <w:t>含税总价（元）</w:t>
            </w:r>
          </w:p>
        </w:tc>
      </w:tr>
      <w:tr>
        <w:tblPrEx>
          <w:tblCellMar>
            <w:top w:w="0" w:type="dxa"/>
            <w:left w:w="10" w:type="dxa"/>
            <w:bottom w:w="0" w:type="dxa"/>
            <w:right w:w="10" w:type="dxa"/>
          </w:tblCellMar>
        </w:tblPrEx>
        <w:trPr>
          <w:trHeight w:val="2362" w:hRule="exact"/>
          <w:jc w:val="center"/>
        </w:trPr>
        <w:tc>
          <w:tcPr>
            <w:tcW w:w="2640" w:type="dxa"/>
            <w:tcBorders>
              <w:top w:val="single" w:color="auto" w:sz="4" w:space="0"/>
              <w:left w:val="single" w:color="auto" w:sz="4" w:space="0"/>
            </w:tcBorders>
            <w:shd w:val="clear" w:color="auto" w:fill="FFFFFF"/>
            <w:vAlign w:val="center"/>
          </w:tcPr>
          <w:p>
            <w:pPr>
              <w:pStyle w:val="19"/>
              <w:spacing w:after="300"/>
              <w:jc w:val="left"/>
              <w:rPr>
                <w:sz w:val="28"/>
                <w:szCs w:val="28"/>
              </w:rPr>
            </w:pPr>
            <w:r>
              <w:rPr>
                <w:rFonts w:hint="eastAsia"/>
                <w:color w:val="000000"/>
                <w:sz w:val="28"/>
                <w:szCs w:val="28"/>
                <w:lang w:eastAsia="zh-CN"/>
              </w:rPr>
              <w:t>*</w:t>
            </w:r>
            <w:r>
              <w:rPr>
                <w:rFonts w:eastAsia="PMingLiU"/>
                <w:color w:val="000000"/>
                <w:sz w:val="28"/>
                <w:szCs w:val="28"/>
              </w:rPr>
              <w:t>******</w:t>
            </w:r>
            <w:r>
              <w:rPr>
                <w:rFonts w:hint="eastAsia" w:asciiTheme="minorEastAsia" w:hAnsiTheme="minorEastAsia" w:eastAsiaTheme="minorEastAsia"/>
                <w:color w:val="000000"/>
                <w:sz w:val="28"/>
                <w:szCs w:val="28"/>
              </w:rPr>
              <w:t>公司</w:t>
            </w:r>
            <w:r>
              <w:rPr>
                <w:rFonts w:hint="eastAsia" w:asciiTheme="minorEastAsia" w:hAnsiTheme="minorEastAsia" w:eastAsiaTheme="minorEastAsia"/>
                <w:color w:val="000000"/>
                <w:sz w:val="28"/>
                <w:szCs w:val="28"/>
                <w:lang w:val="en-US" w:eastAsia="zh-CN"/>
              </w:rPr>
              <w:t>工程</w:t>
            </w:r>
            <w:r>
              <w:rPr>
                <w:rFonts w:hint="eastAsia" w:asciiTheme="minorEastAsia" w:hAnsiTheme="minorEastAsia" w:eastAsiaTheme="minorEastAsia"/>
                <w:color w:val="000000"/>
                <w:sz w:val="28"/>
                <w:szCs w:val="28"/>
              </w:rPr>
              <w:t>专项</w:t>
            </w:r>
            <w:r>
              <w:rPr>
                <w:rFonts w:hint="eastAsia"/>
                <w:color w:val="000000"/>
                <w:sz w:val="28"/>
                <w:szCs w:val="28"/>
                <w:lang w:val="en-US" w:eastAsia="zh-CN"/>
              </w:rPr>
              <w:t>审计</w:t>
            </w:r>
            <w:r>
              <w:rPr>
                <w:color w:val="000000"/>
                <w:sz w:val="28"/>
                <w:szCs w:val="28"/>
              </w:rPr>
              <w:t>服务项目</w:t>
            </w:r>
          </w:p>
        </w:tc>
        <w:tc>
          <w:tcPr>
            <w:tcW w:w="1574" w:type="dxa"/>
            <w:tcBorders>
              <w:top w:val="single" w:color="auto" w:sz="4" w:space="0"/>
              <w:left w:val="single" w:color="auto" w:sz="4" w:space="0"/>
            </w:tcBorders>
            <w:shd w:val="clear" w:color="auto" w:fill="FFFFFF"/>
          </w:tcPr>
          <w:p>
            <w:pPr>
              <w:rPr>
                <w:sz w:val="10"/>
                <w:szCs w:val="10"/>
              </w:rPr>
            </w:pPr>
          </w:p>
        </w:tc>
        <w:tc>
          <w:tcPr>
            <w:tcW w:w="1570" w:type="dxa"/>
            <w:tcBorders>
              <w:top w:val="single" w:color="auto" w:sz="4" w:space="0"/>
              <w:left w:val="single" w:color="auto" w:sz="4" w:space="0"/>
            </w:tcBorders>
            <w:shd w:val="clear" w:color="auto" w:fill="FFFFFF"/>
          </w:tcPr>
          <w:p>
            <w:pPr>
              <w:rPr>
                <w:sz w:val="10"/>
                <w:szCs w:val="10"/>
              </w:rPr>
            </w:pPr>
          </w:p>
        </w:tc>
        <w:tc>
          <w:tcPr>
            <w:tcW w:w="1565" w:type="dxa"/>
            <w:tcBorders>
              <w:top w:val="single" w:color="auto" w:sz="4" w:space="0"/>
              <w:left w:val="single" w:color="auto" w:sz="4" w:space="0"/>
            </w:tcBorders>
            <w:shd w:val="clear" w:color="auto" w:fill="FFFFFF"/>
          </w:tcPr>
          <w:p>
            <w:pPr>
              <w:rPr>
                <w:sz w:val="10"/>
                <w:szCs w:val="10"/>
              </w:rPr>
            </w:pPr>
          </w:p>
        </w:tc>
        <w:tc>
          <w:tcPr>
            <w:tcW w:w="157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1066" w:hRule="exact"/>
          <w:jc w:val="center"/>
        </w:trPr>
        <w:tc>
          <w:tcPr>
            <w:tcW w:w="2640" w:type="dxa"/>
            <w:tcBorders>
              <w:top w:val="single" w:color="auto" w:sz="4" w:space="0"/>
              <w:left w:val="single" w:color="auto" w:sz="4" w:space="0"/>
            </w:tcBorders>
            <w:shd w:val="clear" w:color="auto" w:fill="FFFFFF"/>
            <w:vAlign w:val="center"/>
          </w:tcPr>
          <w:p>
            <w:pPr>
              <w:pStyle w:val="19"/>
              <w:jc w:val="center"/>
              <w:rPr>
                <w:sz w:val="28"/>
                <w:szCs w:val="28"/>
              </w:rPr>
            </w:pPr>
            <w:r>
              <w:rPr>
                <w:color w:val="000000"/>
                <w:sz w:val="28"/>
                <w:szCs w:val="28"/>
              </w:rPr>
              <w:t>报价有效期</w:t>
            </w:r>
          </w:p>
        </w:tc>
        <w:tc>
          <w:tcPr>
            <w:tcW w:w="6288" w:type="dxa"/>
            <w:gridSpan w:val="4"/>
            <w:tcBorders>
              <w:top w:val="single" w:color="auto" w:sz="4" w:space="0"/>
              <w:left w:val="single" w:color="auto" w:sz="4" w:space="0"/>
              <w:right w:val="single" w:color="auto" w:sz="4" w:space="0"/>
            </w:tcBorders>
            <w:shd w:val="clear" w:color="auto" w:fill="FFFFFF"/>
            <w:vAlign w:val="center"/>
          </w:tcPr>
          <w:p>
            <w:pPr>
              <w:pStyle w:val="19"/>
              <w:tabs>
                <w:tab w:val="left" w:leader="underscore" w:pos="3038"/>
              </w:tabs>
              <w:jc w:val="left"/>
              <w:rPr>
                <w:lang w:val="en-US" w:eastAsia="zh-CN"/>
              </w:rPr>
            </w:pPr>
            <w:r>
              <w:rPr>
                <w:color w:val="000000"/>
              </w:rPr>
              <w:t>有效期至递交截止时间后</w:t>
            </w:r>
            <w:r>
              <w:rPr>
                <w:color w:val="000000"/>
              </w:rPr>
              <w:tab/>
            </w:r>
            <w:r>
              <w:rPr>
                <w:rFonts w:hint="eastAsia"/>
                <w:color w:val="000000"/>
                <w:lang w:val="en-US" w:eastAsia="zh-CN"/>
              </w:rPr>
              <w:t>日</w:t>
            </w:r>
          </w:p>
          <w:p>
            <w:pPr>
              <w:rPr>
                <w:sz w:val="10"/>
                <w:szCs w:val="10"/>
              </w:rPr>
            </w:pPr>
          </w:p>
        </w:tc>
      </w:tr>
      <w:tr>
        <w:tblPrEx>
          <w:tblCellMar>
            <w:top w:w="0" w:type="dxa"/>
            <w:left w:w="10" w:type="dxa"/>
            <w:bottom w:w="0" w:type="dxa"/>
            <w:right w:w="10" w:type="dxa"/>
          </w:tblCellMar>
        </w:tblPrEx>
        <w:trPr>
          <w:trHeight w:val="1008" w:hRule="exact"/>
          <w:jc w:val="center"/>
        </w:trPr>
        <w:tc>
          <w:tcPr>
            <w:tcW w:w="2640" w:type="dxa"/>
            <w:tcBorders>
              <w:top w:val="single" w:color="auto" w:sz="4" w:space="0"/>
              <w:left w:val="single" w:color="auto" w:sz="4" w:space="0"/>
            </w:tcBorders>
            <w:shd w:val="clear" w:color="auto" w:fill="FFFFFF"/>
            <w:vAlign w:val="center"/>
          </w:tcPr>
          <w:p>
            <w:pPr>
              <w:pStyle w:val="19"/>
              <w:jc w:val="center"/>
              <w:rPr>
                <w:sz w:val="28"/>
                <w:szCs w:val="28"/>
              </w:rPr>
            </w:pPr>
            <w:r>
              <w:rPr>
                <w:color w:val="000000"/>
                <w:sz w:val="28"/>
                <w:szCs w:val="28"/>
              </w:rPr>
              <w:t>其他优惠及承诺</w:t>
            </w:r>
          </w:p>
        </w:tc>
        <w:tc>
          <w:tcPr>
            <w:tcW w:w="6288" w:type="dxa"/>
            <w:gridSpan w:val="4"/>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2798" w:hRule="exact"/>
          <w:jc w:val="center"/>
        </w:trPr>
        <w:tc>
          <w:tcPr>
            <w:tcW w:w="892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color w:val="000000"/>
                <w:sz w:val="24"/>
                <w:lang w:val="zh-TW" w:eastAsia="zh-TW" w:bidi="zh-TW"/>
              </w:rPr>
            </w:pPr>
            <w:r>
              <w:rPr>
                <w:rFonts w:ascii="宋体" w:hAnsi="宋体" w:eastAsia="宋体" w:cs="宋体"/>
                <w:color w:val="000000"/>
                <w:sz w:val="24"/>
                <w:lang w:val="zh-TW" w:eastAsia="zh-TW" w:bidi="zh-TW"/>
              </w:rPr>
              <w:t>竞争性谈判申请人（盖单位公章）：</w:t>
            </w:r>
          </w:p>
          <w:p>
            <w:pPr>
              <w:rPr>
                <w:rFonts w:ascii="宋体" w:hAnsi="宋体" w:eastAsia="宋体" w:cs="宋体"/>
                <w:color w:val="000000"/>
                <w:sz w:val="24"/>
                <w:lang w:val="zh-TW" w:eastAsia="zh-TW" w:bidi="zh-TW"/>
              </w:rPr>
            </w:pPr>
          </w:p>
          <w:p>
            <w:pPr>
              <w:rPr>
                <w:rFonts w:ascii="宋体" w:hAnsi="宋体" w:eastAsia="宋体" w:cs="宋体"/>
                <w:color w:val="000000"/>
                <w:sz w:val="24"/>
                <w:lang w:val="zh-TW" w:eastAsia="zh-TW" w:bidi="zh-TW"/>
              </w:rPr>
            </w:pPr>
            <w:r>
              <w:rPr>
                <w:rFonts w:ascii="宋体" w:hAnsi="宋体" w:eastAsia="宋体" w:cs="宋体"/>
                <w:color w:val="000000"/>
                <w:sz w:val="24"/>
                <w:lang w:val="zh-TW" w:eastAsia="zh-TW" w:bidi="zh-TW"/>
              </w:rPr>
              <w:t>法定代表人或其委托代理人（签字）：</w:t>
            </w:r>
          </w:p>
          <w:p>
            <w:pPr>
              <w:rPr>
                <w:rFonts w:ascii="宋体" w:hAnsi="宋体" w:eastAsia="宋体" w:cs="宋体"/>
                <w:color w:val="000000"/>
                <w:sz w:val="24"/>
                <w:lang w:val="zh-TW" w:eastAsia="zh-TW" w:bidi="zh-TW"/>
              </w:rPr>
            </w:pPr>
          </w:p>
          <w:p>
            <w:pPr>
              <w:pStyle w:val="19"/>
              <w:tabs>
                <w:tab w:val="left" w:leader="underscore" w:pos="1642"/>
                <w:tab w:val="left" w:leader="underscore" w:pos="2486"/>
              </w:tabs>
              <w:rPr>
                <w:sz w:val="10"/>
                <w:szCs w:val="10"/>
              </w:rPr>
            </w:pPr>
            <w:r>
              <w:rPr>
                <w:color w:val="000000"/>
                <w:sz w:val="24"/>
                <w:szCs w:val="24"/>
              </w:rPr>
              <w:t>日期：</w:t>
            </w:r>
            <w:r>
              <w:rPr>
                <w:rFonts w:hint="eastAsia"/>
                <w:color w:val="000000"/>
                <w:sz w:val="24"/>
                <w:szCs w:val="24"/>
                <w:u w:val="single"/>
                <w:lang w:val="en-US" w:eastAsia="zh-CN"/>
              </w:rPr>
              <w:t xml:space="preserve">       </w:t>
            </w:r>
            <w:r>
              <w:rPr>
                <w:color w:val="000000"/>
                <w:sz w:val="24"/>
                <w:szCs w:val="24"/>
              </w:rPr>
              <w:t>年</w:t>
            </w:r>
            <w:r>
              <w:rPr>
                <w:rFonts w:hint="eastAsia"/>
                <w:color w:val="000000"/>
                <w:sz w:val="24"/>
                <w:szCs w:val="24"/>
                <w:u w:val="single"/>
                <w:lang w:val="en-US" w:eastAsia="zh-CN"/>
              </w:rPr>
              <w:t xml:space="preserve">      </w:t>
            </w:r>
            <w:r>
              <w:rPr>
                <w:color w:val="000000"/>
                <w:sz w:val="24"/>
                <w:szCs w:val="24"/>
                <w:lang w:val="zh-CN" w:eastAsia="zh-CN"/>
              </w:rPr>
              <w:t>月</w:t>
            </w:r>
            <w:r>
              <w:rPr>
                <w:rFonts w:hint="eastAsia"/>
                <w:color w:val="000000"/>
                <w:sz w:val="24"/>
                <w:szCs w:val="24"/>
                <w:u w:val="single"/>
                <w:lang w:val="en-US" w:eastAsia="zh-CN"/>
              </w:rPr>
              <w:t xml:space="preserve">       </w:t>
            </w:r>
            <w:r>
              <w:rPr>
                <w:rFonts w:hint="eastAsia"/>
                <w:color w:val="000000"/>
                <w:sz w:val="24"/>
                <w:szCs w:val="24"/>
                <w:lang w:val="en-US" w:eastAsia="zh-CN"/>
              </w:rPr>
              <w:t xml:space="preserve"> </w:t>
            </w:r>
            <w:r>
              <w:rPr>
                <w:color w:val="000000"/>
                <w:sz w:val="24"/>
                <w:szCs w:val="24"/>
              </w:rPr>
              <w:t>日</w:t>
            </w:r>
          </w:p>
        </w:tc>
      </w:tr>
      <w:bookmarkEnd w:id="18"/>
      <w:bookmarkEnd w:id="19"/>
    </w:tbl>
    <w:p>
      <w:pPr>
        <w:tabs>
          <w:tab w:val="left" w:pos="0"/>
        </w:tabs>
        <w:adjustRightInd w:val="0"/>
        <w:spacing w:line="360" w:lineRule="auto"/>
        <w:jc w:val="left"/>
        <w:rPr>
          <w:b/>
          <w:bCs/>
          <w:color w:val="000000"/>
          <w:szCs w:val="21"/>
        </w:rPr>
      </w:pPr>
      <w:r>
        <w:rPr>
          <w:color w:val="000000"/>
          <w:szCs w:val="21"/>
        </w:rPr>
        <w:t>注：</w:t>
      </w:r>
      <w:r>
        <w:rPr>
          <w:b/>
          <w:bCs/>
          <w:color w:val="000000"/>
          <w:szCs w:val="21"/>
        </w:rPr>
        <w:t>1</w:t>
      </w:r>
      <w:r>
        <w:rPr>
          <w:rFonts w:hint="eastAsia"/>
          <w:b/>
          <w:bCs/>
          <w:color w:val="000000"/>
          <w:szCs w:val="21"/>
        </w:rPr>
        <w:t>.</w:t>
      </w:r>
      <w:r>
        <w:rPr>
          <w:b/>
          <w:bCs/>
          <w:color w:val="000000"/>
          <w:szCs w:val="21"/>
        </w:rPr>
        <w:t>此表应放于</w:t>
      </w:r>
      <w:r>
        <w:rPr>
          <w:rFonts w:hint="eastAsia"/>
          <w:b/>
          <w:bCs/>
          <w:color w:val="000000"/>
          <w:szCs w:val="21"/>
        </w:rPr>
        <w:t>竞争性谈判申请文件</w:t>
      </w:r>
      <w:r>
        <w:rPr>
          <w:b/>
          <w:bCs/>
          <w:color w:val="000000"/>
          <w:szCs w:val="21"/>
        </w:rPr>
        <w:t>封面后第一页。</w:t>
      </w:r>
    </w:p>
    <w:p>
      <w:pPr>
        <w:tabs>
          <w:tab w:val="left" w:pos="0"/>
        </w:tabs>
        <w:adjustRightInd w:val="0"/>
        <w:spacing w:line="360" w:lineRule="auto"/>
        <w:ind w:firstLine="424" w:firstLineChars="201"/>
        <w:jc w:val="left"/>
        <w:rPr>
          <w:b/>
          <w:bCs/>
          <w:color w:val="000000"/>
          <w:szCs w:val="21"/>
        </w:rPr>
      </w:pPr>
      <w:r>
        <w:rPr>
          <w:b/>
          <w:bCs/>
          <w:color w:val="000000"/>
          <w:szCs w:val="21"/>
        </w:rPr>
        <w:t>2</w:t>
      </w:r>
      <w:r>
        <w:rPr>
          <w:rFonts w:hint="eastAsia"/>
          <w:b/>
          <w:bCs/>
          <w:color w:val="000000"/>
          <w:szCs w:val="21"/>
        </w:rPr>
        <w:t>.竞争性谈判申请人</w:t>
      </w:r>
      <w:r>
        <w:rPr>
          <w:b/>
          <w:bCs/>
          <w:color w:val="000000"/>
          <w:szCs w:val="21"/>
        </w:rPr>
        <w:t>应仔细核实发包范围内所包含的所有计费项目，未报及漏报的项目将视为是</w:t>
      </w:r>
      <w:r>
        <w:rPr>
          <w:rFonts w:hint="eastAsia"/>
          <w:b/>
          <w:bCs/>
          <w:color w:val="000000"/>
          <w:szCs w:val="21"/>
        </w:rPr>
        <w:t>竞争性谈判申请人</w:t>
      </w:r>
      <w:r>
        <w:rPr>
          <w:b/>
          <w:bCs/>
          <w:color w:val="000000"/>
          <w:szCs w:val="21"/>
        </w:rPr>
        <w:t>对竞争性谈判人进行优惠，结算时不再进行增加。</w:t>
      </w:r>
    </w:p>
    <w:p>
      <w:pPr>
        <w:tabs>
          <w:tab w:val="left" w:pos="0"/>
        </w:tabs>
        <w:adjustRightInd w:val="0"/>
        <w:spacing w:line="360" w:lineRule="auto"/>
        <w:ind w:firstLine="424" w:firstLineChars="201"/>
        <w:jc w:val="left"/>
        <w:rPr>
          <w:b/>
          <w:bCs/>
          <w:color w:val="000000"/>
          <w:szCs w:val="21"/>
        </w:rPr>
      </w:pPr>
      <w:r>
        <w:rPr>
          <w:b/>
          <w:bCs/>
          <w:color w:val="000000"/>
          <w:szCs w:val="21"/>
        </w:rPr>
        <w:t>3</w:t>
      </w:r>
      <w:r>
        <w:rPr>
          <w:rFonts w:hint="eastAsia"/>
          <w:b/>
          <w:bCs/>
          <w:color w:val="000000"/>
          <w:szCs w:val="21"/>
        </w:rPr>
        <w:t>.</w:t>
      </w:r>
      <w:r>
        <w:rPr>
          <w:b/>
          <w:bCs/>
          <w:color w:val="000000"/>
          <w:szCs w:val="21"/>
        </w:rPr>
        <w:t>本表应盖单位公章，法定代表人或其委托代理人应签字；</w:t>
      </w:r>
      <w:r>
        <w:rPr>
          <w:rFonts w:hint="eastAsia"/>
          <w:b/>
          <w:bCs/>
          <w:color w:val="000000"/>
          <w:szCs w:val="21"/>
        </w:rPr>
        <w:t>竞争性谈判申请文件</w:t>
      </w:r>
      <w:r>
        <w:rPr>
          <w:b/>
          <w:bCs/>
          <w:color w:val="000000"/>
          <w:szCs w:val="21"/>
        </w:rPr>
        <w:t>正本中此表为原件。</w:t>
      </w:r>
    </w:p>
    <w:p>
      <w:pPr>
        <w:ind w:firstLine="422" w:firstLineChars="200"/>
        <w:jc w:val="left"/>
        <w:rPr>
          <w:rFonts w:ascii="仿宋_GB2312" w:eastAsia="仿宋_GB2312"/>
          <w:sz w:val="32"/>
          <w:szCs w:val="32"/>
        </w:rPr>
      </w:pPr>
      <w:r>
        <w:rPr>
          <w:rFonts w:hint="eastAsia"/>
          <w:b/>
          <w:bCs/>
          <w:color w:val="000000"/>
          <w:szCs w:val="21"/>
        </w:rPr>
        <w:t>4.差旅费、交通费、住宿费费用由甲方承担。</w:t>
      </w:r>
    </w:p>
    <w:p>
      <w:pPr>
        <w:jc w:val="center"/>
        <w:rPr>
          <w:rFonts w:ascii="仿宋_GB2312" w:eastAsia="仿宋_GB2312"/>
          <w:b/>
          <w:bCs/>
          <w:sz w:val="32"/>
          <w:szCs w:val="32"/>
        </w:rPr>
      </w:pPr>
    </w:p>
    <w:p>
      <w:pPr>
        <w:widowControl/>
        <w:spacing w:line="360" w:lineRule="auto"/>
        <w:jc w:val="center"/>
        <w:rPr>
          <w:rFonts w:ascii="仿宋_GB2312" w:hAnsi="仿宋_GB2312" w:eastAsia="仿宋_GB2312" w:cs="仿宋_GB2312"/>
          <w:b/>
          <w:bCs/>
          <w:sz w:val="32"/>
          <w:szCs w:val="32"/>
        </w:rPr>
      </w:pPr>
      <w:bookmarkStart w:id="20" w:name="_Toc12873_WPSOffice_Level2"/>
      <w:bookmarkStart w:id="21" w:name="_Toc17900_WPSOffice_Level2"/>
    </w:p>
    <w:p>
      <w:pPr>
        <w:widowControl/>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附件二：报价函</w:t>
      </w:r>
      <w:bookmarkEnd w:id="20"/>
      <w:bookmarkEnd w:id="21"/>
    </w:p>
    <w:p>
      <w:pPr>
        <w:jc w:val="center"/>
        <w:rPr>
          <w:rFonts w:ascii="仿宋_GB2312" w:eastAsia="仿宋_GB2312"/>
          <w:b/>
          <w:bCs/>
          <w:sz w:val="32"/>
          <w:szCs w:val="32"/>
        </w:rPr>
      </w:pPr>
    </w:p>
    <w:p>
      <w:pPr>
        <w:jc w:val="left"/>
        <w:rPr>
          <w:rFonts w:ascii="仿宋_GB2312" w:eastAsia="仿宋_GB2312"/>
          <w:sz w:val="28"/>
          <w:szCs w:val="28"/>
        </w:rPr>
      </w:pPr>
      <w:r>
        <w:rPr>
          <w:rFonts w:hint="eastAsia" w:ascii="仿宋_GB2312" w:eastAsia="仿宋_GB2312"/>
          <w:sz w:val="28"/>
          <w:szCs w:val="28"/>
        </w:rPr>
        <w:t>致：XX公司（以下简称“*</w:t>
      </w:r>
      <w:r>
        <w:rPr>
          <w:rFonts w:ascii="仿宋_GB2312" w:eastAsia="仿宋_GB2312"/>
          <w:sz w:val="28"/>
          <w:szCs w:val="28"/>
        </w:rPr>
        <w:t>****</w:t>
      </w:r>
      <w:r>
        <w:rPr>
          <w:rFonts w:hint="eastAsia" w:ascii="仿宋_GB2312" w:eastAsia="仿宋_GB2312"/>
          <w:sz w:val="28"/>
          <w:szCs w:val="28"/>
        </w:rPr>
        <w:t>”）</w:t>
      </w:r>
    </w:p>
    <w:p>
      <w:pPr>
        <w:ind w:firstLine="645"/>
        <w:jc w:val="left"/>
        <w:rPr>
          <w:rFonts w:ascii="仿宋_GB2312" w:eastAsia="仿宋_GB2312"/>
          <w:sz w:val="28"/>
          <w:szCs w:val="28"/>
        </w:rPr>
      </w:pPr>
      <w:r>
        <w:rPr>
          <w:rFonts w:hint="eastAsia" w:ascii="仿宋_GB2312" w:eastAsia="仿宋_GB2312"/>
          <w:sz w:val="28"/>
          <w:szCs w:val="28"/>
        </w:rPr>
        <w:t>经研究，我方决定参加</w:t>
      </w:r>
      <w:r>
        <w:rPr>
          <w:rFonts w:hint="eastAsia" w:ascii="仿宋_GB2312" w:eastAsia="仿宋_GB2312"/>
          <w:sz w:val="28"/>
          <w:szCs w:val="28"/>
          <w:u w:val="single"/>
        </w:rPr>
        <w:t xml:space="preserve">         </w:t>
      </w:r>
      <w:r>
        <w:rPr>
          <w:rFonts w:hint="eastAsia" w:ascii="仿宋_GB2312" w:eastAsia="仿宋_GB2312"/>
          <w:sz w:val="28"/>
          <w:szCs w:val="28"/>
        </w:rPr>
        <w:t>的竞争性谈判采购并提交竞争性谈判申请文件。为此，我方郑重声明：</w:t>
      </w:r>
    </w:p>
    <w:p>
      <w:pPr>
        <w:ind w:firstLine="645"/>
        <w:jc w:val="left"/>
        <w:rPr>
          <w:rFonts w:ascii="仿宋_GB2312" w:eastAsia="仿宋_GB2312"/>
          <w:sz w:val="28"/>
          <w:szCs w:val="28"/>
        </w:rPr>
      </w:pPr>
      <w:r>
        <w:rPr>
          <w:rFonts w:hint="eastAsia" w:ascii="仿宋_GB2312" w:eastAsia="仿宋_GB2312"/>
          <w:sz w:val="28"/>
          <w:szCs w:val="28"/>
        </w:rPr>
        <w:t>1.提交竞争性谈判申请文件，正本壹份，副本壹份。</w:t>
      </w:r>
    </w:p>
    <w:p>
      <w:pPr>
        <w:ind w:firstLine="645"/>
        <w:jc w:val="left"/>
        <w:rPr>
          <w:rFonts w:ascii="仿宋_GB2312" w:eastAsia="仿宋_GB2312"/>
          <w:sz w:val="28"/>
          <w:szCs w:val="28"/>
        </w:rPr>
      </w:pPr>
      <w:r>
        <w:rPr>
          <w:rFonts w:hint="eastAsia" w:ascii="仿宋_GB2312" w:eastAsia="仿宋_GB2312"/>
          <w:sz w:val="28"/>
          <w:szCs w:val="28"/>
        </w:rPr>
        <w:t>2.若报价文件被接受，我方将严格履行竞争性谈判文件中规定的每项要求，并按竞争性谈判申请文件中的承诺提供法律顾问服务。</w:t>
      </w:r>
    </w:p>
    <w:p>
      <w:pPr>
        <w:ind w:firstLine="645"/>
        <w:jc w:val="left"/>
        <w:rPr>
          <w:rFonts w:ascii="仿宋_GB2312" w:eastAsia="仿宋_GB2312"/>
          <w:sz w:val="28"/>
          <w:szCs w:val="28"/>
        </w:rPr>
      </w:pPr>
      <w:r>
        <w:rPr>
          <w:rFonts w:hint="eastAsia" w:ascii="仿宋_GB2312" w:eastAsia="仿宋_GB2312"/>
          <w:sz w:val="28"/>
          <w:szCs w:val="28"/>
        </w:rPr>
        <w:t>3.我方理解，最低报价不是成交的唯一条件，*</w:t>
      </w:r>
      <w:r>
        <w:rPr>
          <w:rFonts w:ascii="仿宋_GB2312" w:eastAsia="仿宋_GB2312"/>
          <w:sz w:val="28"/>
          <w:szCs w:val="28"/>
        </w:rPr>
        <w:t>*****</w:t>
      </w:r>
      <w:r>
        <w:rPr>
          <w:rFonts w:hint="eastAsia" w:ascii="仿宋_GB2312" w:eastAsia="仿宋_GB2312"/>
          <w:sz w:val="28"/>
          <w:szCs w:val="28"/>
        </w:rPr>
        <w:t>公司有选择成交的权力。我方若未成交，*</w:t>
      </w:r>
      <w:r>
        <w:rPr>
          <w:rFonts w:ascii="仿宋_GB2312" w:eastAsia="仿宋_GB2312"/>
          <w:sz w:val="28"/>
          <w:szCs w:val="28"/>
        </w:rPr>
        <w:t>*****</w:t>
      </w:r>
      <w:r>
        <w:rPr>
          <w:rFonts w:hint="eastAsia" w:ascii="仿宋_GB2312" w:eastAsia="仿宋_GB2312"/>
          <w:sz w:val="28"/>
          <w:szCs w:val="28"/>
        </w:rPr>
        <w:t>公司有权不作任何解释。</w:t>
      </w:r>
    </w:p>
    <w:p>
      <w:pPr>
        <w:ind w:firstLine="645"/>
        <w:jc w:val="left"/>
        <w:rPr>
          <w:rFonts w:ascii="仿宋_GB2312" w:eastAsia="仿宋_GB2312"/>
          <w:sz w:val="28"/>
          <w:szCs w:val="28"/>
        </w:rPr>
      </w:pPr>
      <w:r>
        <w:rPr>
          <w:rFonts w:hint="eastAsia" w:ascii="仿宋_GB2312" w:eastAsia="仿宋_GB2312"/>
          <w:sz w:val="28"/>
          <w:szCs w:val="28"/>
        </w:rPr>
        <w:t>4.我方的竞争性谈判申请文件自送交之日起有效期为90日。</w:t>
      </w:r>
    </w:p>
    <w:p>
      <w:pPr>
        <w:ind w:firstLine="645"/>
        <w:jc w:val="left"/>
        <w:rPr>
          <w:rFonts w:ascii="仿宋_GB2312" w:eastAsia="仿宋_GB2312"/>
          <w:sz w:val="28"/>
          <w:szCs w:val="28"/>
        </w:rPr>
      </w:pPr>
      <w:r>
        <w:rPr>
          <w:rFonts w:hint="eastAsia" w:ascii="仿宋_GB2312" w:eastAsia="仿宋_GB2312"/>
          <w:sz w:val="28"/>
          <w:szCs w:val="28"/>
        </w:rPr>
        <w:t>5.与本项目有关的一切正式往来通讯请寄：</w:t>
      </w:r>
    </w:p>
    <w:p>
      <w:pPr>
        <w:ind w:firstLine="645"/>
        <w:jc w:val="left"/>
        <w:rPr>
          <w:rFonts w:ascii="仿宋_GB2312" w:eastAsia="仿宋_GB2312"/>
          <w:sz w:val="28"/>
          <w:szCs w:val="28"/>
        </w:rPr>
      </w:pPr>
      <w:r>
        <w:rPr>
          <w:rFonts w:hint="eastAsia" w:ascii="仿宋_GB2312" w:eastAsia="仿宋_GB2312"/>
          <w:sz w:val="28"/>
          <w:szCs w:val="28"/>
        </w:rPr>
        <w:t>联系人：</w:t>
      </w:r>
    </w:p>
    <w:p>
      <w:pPr>
        <w:ind w:firstLine="645"/>
        <w:jc w:val="left"/>
        <w:rPr>
          <w:rFonts w:ascii="仿宋_GB2312" w:eastAsia="仿宋_GB2312"/>
          <w:sz w:val="28"/>
          <w:szCs w:val="28"/>
          <w:u w:val="single"/>
        </w:rPr>
      </w:pPr>
      <w:r>
        <w:rPr>
          <w:rFonts w:hint="eastAsia" w:ascii="仿宋_GB2312" w:eastAsia="仿宋_GB2312"/>
          <w:sz w:val="28"/>
          <w:szCs w:val="28"/>
        </w:rPr>
        <w:t>地  址：</w:t>
      </w:r>
    </w:p>
    <w:p>
      <w:pPr>
        <w:ind w:firstLine="645"/>
        <w:jc w:val="left"/>
        <w:rPr>
          <w:rFonts w:ascii="仿宋_GB2312" w:eastAsia="仿宋_GB2312"/>
          <w:sz w:val="28"/>
          <w:szCs w:val="28"/>
          <w:u w:val="single"/>
        </w:rPr>
      </w:pPr>
      <w:r>
        <w:rPr>
          <w:rFonts w:hint="eastAsia" w:ascii="仿宋_GB2312" w:eastAsia="仿宋_GB2312"/>
          <w:sz w:val="28"/>
          <w:szCs w:val="28"/>
        </w:rPr>
        <w:t>邮  编：</w:t>
      </w:r>
    </w:p>
    <w:p>
      <w:pPr>
        <w:ind w:firstLine="645"/>
        <w:jc w:val="left"/>
        <w:rPr>
          <w:rFonts w:ascii="仿宋_GB2312" w:eastAsia="仿宋_GB2312"/>
          <w:sz w:val="28"/>
          <w:szCs w:val="28"/>
          <w:u w:val="single"/>
        </w:rPr>
      </w:pPr>
      <w:r>
        <w:rPr>
          <w:rFonts w:hint="eastAsia" w:ascii="仿宋_GB2312" w:eastAsia="仿宋_GB2312"/>
          <w:sz w:val="28"/>
          <w:szCs w:val="28"/>
        </w:rPr>
        <w:t>电  话：</w:t>
      </w:r>
    </w:p>
    <w:p>
      <w:pPr>
        <w:ind w:firstLine="645"/>
        <w:jc w:val="left"/>
        <w:rPr>
          <w:rFonts w:ascii="仿宋_GB2312" w:eastAsia="仿宋_GB2312"/>
          <w:sz w:val="28"/>
          <w:szCs w:val="28"/>
          <w:u w:val="single"/>
        </w:rPr>
      </w:pPr>
      <w:r>
        <w:rPr>
          <w:rFonts w:hint="eastAsia" w:ascii="仿宋_GB2312" w:eastAsia="仿宋_GB2312"/>
          <w:sz w:val="28"/>
          <w:szCs w:val="28"/>
        </w:rPr>
        <w:t>传  真：</w:t>
      </w:r>
    </w:p>
    <w:p>
      <w:pPr>
        <w:ind w:firstLine="645"/>
        <w:jc w:val="left"/>
        <w:rPr>
          <w:rFonts w:ascii="仿宋_GB2312" w:eastAsia="仿宋_GB2312"/>
          <w:sz w:val="28"/>
          <w:szCs w:val="28"/>
        </w:rPr>
      </w:pPr>
    </w:p>
    <w:p>
      <w:pPr>
        <w:ind w:firstLine="3164" w:firstLineChars="1130"/>
        <w:jc w:val="left"/>
        <w:rPr>
          <w:rFonts w:ascii="仿宋_GB2312" w:eastAsia="仿宋_GB2312"/>
          <w:sz w:val="28"/>
          <w:szCs w:val="28"/>
          <w:u w:val="single"/>
        </w:rPr>
      </w:pPr>
      <w:r>
        <w:rPr>
          <w:rFonts w:hint="eastAsia" w:ascii="仿宋_GB2312" w:eastAsia="仿宋_GB2312"/>
          <w:sz w:val="28"/>
          <w:szCs w:val="28"/>
        </w:rPr>
        <w:t>公司名称（公章）：</w:t>
      </w:r>
    </w:p>
    <w:p>
      <w:pPr>
        <w:ind w:firstLine="2520" w:firstLineChars="900"/>
        <w:jc w:val="left"/>
        <w:rPr>
          <w:rFonts w:ascii="仿宋_GB2312" w:eastAsia="仿宋_GB2312"/>
          <w:sz w:val="28"/>
          <w:szCs w:val="28"/>
        </w:rPr>
      </w:pPr>
      <w:r>
        <w:rPr>
          <w:rFonts w:hint="eastAsia" w:ascii="仿宋_GB2312" w:eastAsia="仿宋_GB2312"/>
          <w:sz w:val="28"/>
          <w:szCs w:val="28"/>
        </w:rPr>
        <w:t>法定代表人或授权代表姓名（签字）：</w:t>
      </w:r>
    </w:p>
    <w:p>
      <w:pPr>
        <w:jc w:val="center"/>
        <w:rPr>
          <w:rFonts w:ascii="仿宋_GB2312" w:eastAsia="仿宋_GB2312"/>
          <w:b/>
          <w:bCs/>
          <w:sz w:val="32"/>
          <w:szCs w:val="32"/>
        </w:rPr>
      </w:pPr>
    </w:p>
    <w:p>
      <w:pPr>
        <w:ind w:firstLine="645"/>
        <w:jc w:val="left"/>
        <w:rPr>
          <w:rFonts w:ascii="仿宋_GB2312" w:eastAsia="仿宋_GB2312"/>
          <w:sz w:val="32"/>
          <w:szCs w:val="32"/>
        </w:rPr>
        <w:sectPr>
          <w:footerReference r:id="rId7" w:type="default"/>
          <w:pgSz w:w="11906" w:h="16838"/>
          <w:pgMar w:top="1383" w:right="1519" w:bottom="1270" w:left="1633" w:header="851" w:footer="992" w:gutter="0"/>
          <w:pgNumType w:fmt="numberInDash" w:start="1" w:chapStyle="1"/>
          <w:cols w:space="425" w:num="1"/>
          <w:docGrid w:type="lines" w:linePitch="312" w:charSpace="0"/>
        </w:sectPr>
      </w:pPr>
    </w:p>
    <w:p>
      <w:pPr>
        <w:widowControl/>
        <w:spacing w:line="360" w:lineRule="auto"/>
        <w:jc w:val="center"/>
        <w:rPr>
          <w:rFonts w:ascii="仿宋_GB2312" w:hAnsi="仿宋_GB2312" w:eastAsia="仿宋_GB2312" w:cs="仿宋_GB2312"/>
          <w:b/>
          <w:bCs/>
          <w:sz w:val="32"/>
          <w:szCs w:val="32"/>
        </w:rPr>
      </w:pPr>
      <w:bookmarkStart w:id="22" w:name="_Toc15455_WPSOffice_Level2"/>
      <w:bookmarkStart w:id="23" w:name="_Toc22453_WPSOffice_Level2"/>
      <w:r>
        <w:rPr>
          <w:rFonts w:hint="eastAsia" w:ascii="仿宋_GB2312" w:hAnsi="仿宋_GB2312" w:eastAsia="仿宋_GB2312" w:cs="仿宋_GB2312"/>
          <w:b/>
          <w:bCs/>
          <w:sz w:val="32"/>
          <w:szCs w:val="32"/>
        </w:rPr>
        <w:t>附件三：资格证明文件</w:t>
      </w:r>
      <w:bookmarkEnd w:id="22"/>
      <w:bookmarkEnd w:id="23"/>
    </w:p>
    <w:p>
      <w:pPr>
        <w:widowControl/>
        <w:jc w:val="left"/>
        <w:rPr>
          <w:rFonts w:ascii="仿宋_GB2312" w:eastAsia="仿宋_GB2312"/>
          <w:b/>
          <w:bCs/>
          <w:sz w:val="32"/>
          <w:szCs w:val="32"/>
        </w:rPr>
      </w:pPr>
      <w:r>
        <w:rPr>
          <w:rFonts w:ascii="仿宋_GB2312" w:eastAsia="仿宋_GB2312"/>
          <w:b/>
          <w:bCs/>
          <w:sz w:val="32"/>
          <w:szCs w:val="32"/>
        </w:rPr>
        <w:br w:type="page"/>
      </w:r>
    </w:p>
    <w:p>
      <w:pPr>
        <w:widowControl/>
        <w:spacing w:line="360" w:lineRule="auto"/>
        <w:jc w:val="center"/>
        <w:rPr>
          <w:rFonts w:ascii="仿宋_GB2312" w:hAnsi="仿宋_GB2312" w:eastAsia="仿宋_GB2312" w:cs="仿宋_GB2312"/>
          <w:b/>
          <w:bCs/>
          <w:sz w:val="32"/>
          <w:szCs w:val="32"/>
        </w:rPr>
      </w:pPr>
      <w:bookmarkStart w:id="24" w:name="_Toc23557_WPSOffice_Level2"/>
      <w:bookmarkStart w:id="25" w:name="_Toc22411_WPSOffice_Level2"/>
      <w:r>
        <w:rPr>
          <w:rFonts w:hint="eastAsia" w:ascii="仿宋_GB2312" w:hAnsi="仿宋_GB2312" w:eastAsia="仿宋_GB2312" w:cs="仿宋_GB2312"/>
          <w:b/>
          <w:bCs/>
          <w:sz w:val="32"/>
          <w:szCs w:val="32"/>
        </w:rPr>
        <w:t>附件四：法定代表人证明书</w:t>
      </w:r>
      <w:bookmarkEnd w:id="24"/>
      <w:bookmarkEnd w:id="25"/>
    </w:p>
    <w:p>
      <w:pPr>
        <w:widowControl/>
        <w:spacing w:line="360" w:lineRule="auto"/>
        <w:ind w:firstLine="1289" w:firstLineChars="403"/>
        <w:rPr>
          <w:rFonts w:ascii="仿宋_GB2312" w:eastAsia="仿宋_GB2312"/>
          <w:bCs/>
          <w:color w:val="000000"/>
          <w:kern w:val="0"/>
          <w:sz w:val="32"/>
          <w:szCs w:val="32"/>
          <w:lang w:bidi="en-US"/>
        </w:rPr>
      </w:pPr>
    </w:p>
    <w:p>
      <w:pPr>
        <w:widowControl/>
        <w:spacing w:line="360" w:lineRule="auto"/>
        <w:ind w:firstLine="1289" w:firstLineChars="403"/>
        <w:rPr>
          <w:rFonts w:ascii="仿宋_GB2312" w:eastAsia="仿宋_GB2312"/>
          <w:bCs/>
          <w:color w:val="000000"/>
          <w:kern w:val="0"/>
          <w:sz w:val="32"/>
          <w:szCs w:val="32"/>
          <w:lang w:bidi="en-US"/>
        </w:rPr>
      </w:pP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单位名称：</w:t>
      </w:r>
      <w:r>
        <w:rPr>
          <w:rFonts w:hint="eastAsia" w:ascii="仿宋_GB2312" w:eastAsia="仿宋_GB2312"/>
          <w:bCs/>
          <w:color w:val="000000"/>
          <w:kern w:val="0"/>
          <w:sz w:val="32"/>
          <w:szCs w:val="32"/>
          <w:u w:val="single"/>
          <w:lang w:bidi="en-US"/>
        </w:rPr>
        <w:t xml:space="preserve">                            </w:t>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单位性质：</w:t>
      </w:r>
      <w:r>
        <w:rPr>
          <w:rFonts w:hint="eastAsia" w:ascii="仿宋_GB2312" w:eastAsia="仿宋_GB2312"/>
          <w:bCs/>
          <w:color w:val="000000"/>
          <w:kern w:val="0"/>
          <w:sz w:val="32"/>
          <w:szCs w:val="32"/>
          <w:u w:val="single"/>
          <w:lang w:bidi="en-US"/>
        </w:rPr>
        <w:t xml:space="preserve">                            </w:t>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地    址：</w:t>
      </w:r>
      <w:r>
        <w:rPr>
          <w:rFonts w:hint="eastAsia" w:ascii="仿宋_GB2312" w:eastAsia="仿宋_GB2312"/>
          <w:bCs/>
          <w:color w:val="000000"/>
          <w:kern w:val="0"/>
          <w:sz w:val="32"/>
          <w:szCs w:val="32"/>
          <w:u w:val="single"/>
          <w:lang w:bidi="en-US"/>
        </w:rPr>
        <w:t xml:space="preserve">                            </w:t>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成立时间：</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年</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月</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日</w:t>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经营期限：</w:t>
      </w:r>
      <w:r>
        <w:rPr>
          <w:rFonts w:hint="eastAsia" w:ascii="仿宋_GB2312" w:eastAsia="仿宋_GB2312"/>
          <w:bCs/>
          <w:color w:val="000000"/>
          <w:kern w:val="0"/>
          <w:sz w:val="32"/>
          <w:szCs w:val="32"/>
          <w:u w:val="single"/>
          <w:lang w:bidi="en-US"/>
        </w:rPr>
        <w:t xml:space="preserve">                            </w:t>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姓名：</w:t>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lang w:bidi="en-US"/>
        </w:rPr>
        <w:tab/>
      </w:r>
      <w:r>
        <w:rPr>
          <w:rFonts w:hint="eastAsia" w:ascii="仿宋_GB2312" w:eastAsia="仿宋_GB2312"/>
          <w:bCs/>
          <w:color w:val="000000"/>
          <w:kern w:val="0"/>
          <w:sz w:val="32"/>
          <w:szCs w:val="32"/>
          <w:lang w:bidi="en-US"/>
        </w:rPr>
        <w:t>职务：</w:t>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r>
        <w:rPr>
          <w:rFonts w:hint="eastAsia" w:ascii="仿宋_GB2312" w:eastAsia="仿宋_GB2312"/>
          <w:bCs/>
          <w:color w:val="000000"/>
          <w:kern w:val="0"/>
          <w:sz w:val="32"/>
          <w:szCs w:val="32"/>
          <w:u w:val="single"/>
          <w:lang w:bidi="en-US"/>
        </w:rPr>
        <w:tab/>
      </w: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系</w:t>
      </w:r>
      <w:r>
        <w:rPr>
          <w:rFonts w:hint="eastAsia" w:ascii="仿宋_GB2312" w:eastAsia="仿宋_GB2312"/>
          <w:bCs/>
          <w:color w:val="000000"/>
          <w:kern w:val="0"/>
          <w:sz w:val="32"/>
          <w:szCs w:val="32"/>
          <w:u w:val="single"/>
          <w:lang w:bidi="en-US"/>
        </w:rPr>
        <w:t xml:space="preserve">           （竞争性谈判申请人单位名称）        </w:t>
      </w:r>
      <w:r>
        <w:rPr>
          <w:rFonts w:hint="eastAsia" w:ascii="仿宋_GB2312" w:eastAsia="仿宋_GB2312"/>
          <w:bCs/>
          <w:color w:val="000000"/>
          <w:kern w:val="0"/>
          <w:sz w:val="32"/>
          <w:szCs w:val="32"/>
          <w:lang w:bidi="en-US"/>
        </w:rPr>
        <w:t>的法定代表人。</w:t>
      </w:r>
    </w:p>
    <w:tbl>
      <w:tblPr>
        <w:tblStyle w:val="9"/>
        <w:tblpPr w:leftFromText="180" w:rightFromText="180" w:vertAnchor="text" w:horzAnchor="page" w:tblpX="6791" w:tblpY="508"/>
        <w:tblOverlap w:val="never"/>
        <w:tblW w:w="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4372" w:type="dxa"/>
            <w:vAlign w:val="center"/>
          </w:tcPr>
          <w:p>
            <w:pPr>
              <w:widowControl/>
              <w:spacing w:line="360" w:lineRule="auto"/>
              <w:jc w:val="center"/>
              <w:rPr>
                <w:rFonts w:ascii="仿宋_GB2312" w:eastAsia="仿宋_GB2312"/>
                <w:bCs/>
                <w:color w:val="000000"/>
                <w:kern w:val="0"/>
                <w:sz w:val="24"/>
                <w:lang w:bidi="en-US"/>
              </w:rPr>
            </w:pPr>
            <w:r>
              <w:rPr>
                <w:rFonts w:hint="eastAsia" w:ascii="仿宋_GB2312" w:eastAsia="仿宋_GB2312"/>
                <w:bCs/>
                <w:color w:val="000000"/>
                <w:kern w:val="0"/>
                <w:sz w:val="24"/>
                <w:lang w:bidi="en-US"/>
              </w:rPr>
              <w:t>附法定代表人身份证反面复印件</w:t>
            </w:r>
          </w:p>
        </w:tc>
      </w:tr>
    </w:tbl>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 xml:space="preserve">特此证明 </w:t>
      </w:r>
    </w:p>
    <w:tbl>
      <w:tblPr>
        <w:tblStyle w:val="9"/>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4060" w:type="dxa"/>
            <w:vAlign w:val="center"/>
          </w:tcPr>
          <w:p>
            <w:pPr>
              <w:widowControl/>
              <w:spacing w:line="360" w:lineRule="auto"/>
              <w:jc w:val="center"/>
              <w:rPr>
                <w:rFonts w:ascii="仿宋_GB2312" w:eastAsia="仿宋_GB2312"/>
                <w:bCs/>
                <w:color w:val="000000"/>
                <w:kern w:val="0"/>
                <w:sz w:val="32"/>
                <w:szCs w:val="32"/>
                <w:lang w:bidi="en-US"/>
              </w:rPr>
            </w:pPr>
            <w:r>
              <w:rPr>
                <w:rFonts w:hint="eastAsia" w:ascii="仿宋_GB2312" w:eastAsia="仿宋_GB2312"/>
                <w:bCs/>
                <w:color w:val="000000"/>
                <w:kern w:val="0"/>
                <w:sz w:val="24"/>
                <w:lang w:bidi="en-US"/>
              </w:rPr>
              <w:t>附法定代表人身份证正面复印件</w:t>
            </w:r>
          </w:p>
        </w:tc>
      </w:tr>
    </w:tbl>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 xml:space="preserve">   </w:t>
      </w:r>
    </w:p>
    <w:p>
      <w:pPr>
        <w:widowControl/>
        <w:spacing w:line="360" w:lineRule="auto"/>
        <w:ind w:firstLine="1289" w:firstLineChars="403"/>
        <w:rPr>
          <w:rFonts w:ascii="仿宋_GB2312" w:eastAsia="仿宋_GB2312"/>
          <w:bCs/>
          <w:color w:val="000000"/>
          <w:kern w:val="0"/>
          <w:sz w:val="32"/>
          <w:szCs w:val="32"/>
          <w:lang w:bidi="en-US"/>
        </w:rPr>
      </w:pPr>
    </w:p>
    <w:p>
      <w:pPr>
        <w:widowControl/>
        <w:spacing w:line="360" w:lineRule="auto"/>
        <w:ind w:firstLine="1289" w:firstLineChars="403"/>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竞争性谈判申请人：</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（盖单位公章）</w:t>
      </w:r>
    </w:p>
    <w:p>
      <w:pPr>
        <w:widowControl/>
        <w:spacing w:line="360" w:lineRule="auto"/>
        <w:ind w:firstLine="1280" w:firstLineChars="400"/>
        <w:rPr>
          <w:rFonts w:ascii="仿宋_GB2312" w:eastAsia="仿宋_GB2312"/>
          <w:bCs/>
          <w:color w:val="000000"/>
          <w:kern w:val="0"/>
          <w:sz w:val="32"/>
          <w:szCs w:val="32"/>
          <w:lang w:bidi="en-US"/>
        </w:rPr>
      </w:pPr>
      <w:r>
        <w:rPr>
          <w:rFonts w:hint="eastAsia" w:ascii="仿宋_GB2312" w:eastAsia="仿宋_GB2312"/>
          <w:bCs/>
          <w:color w:val="000000"/>
          <w:kern w:val="0"/>
          <w:sz w:val="32"/>
          <w:szCs w:val="32"/>
          <w:lang w:bidi="en-US"/>
        </w:rPr>
        <w:t>日  期：</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年</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月</w:t>
      </w:r>
      <w:r>
        <w:rPr>
          <w:rFonts w:hint="eastAsia" w:ascii="仿宋_GB2312" w:eastAsia="仿宋_GB2312"/>
          <w:bCs/>
          <w:color w:val="000000"/>
          <w:kern w:val="0"/>
          <w:sz w:val="32"/>
          <w:szCs w:val="32"/>
          <w:u w:val="single"/>
          <w:lang w:bidi="en-US"/>
        </w:rPr>
        <w:t xml:space="preserve">    </w:t>
      </w:r>
      <w:r>
        <w:rPr>
          <w:rFonts w:hint="eastAsia" w:ascii="仿宋_GB2312" w:eastAsia="仿宋_GB2312"/>
          <w:bCs/>
          <w:color w:val="000000"/>
          <w:kern w:val="0"/>
          <w:sz w:val="32"/>
          <w:szCs w:val="32"/>
          <w:lang w:bidi="en-US"/>
        </w:rPr>
        <w:t>日</w:t>
      </w:r>
    </w:p>
    <w:p>
      <w:pPr>
        <w:jc w:val="left"/>
        <w:rPr>
          <w:rFonts w:ascii="仿宋_GB2312" w:eastAsia="仿宋_GB2312"/>
          <w:sz w:val="32"/>
          <w:szCs w:val="32"/>
        </w:rPr>
      </w:pPr>
    </w:p>
    <w:p>
      <w:pPr>
        <w:ind w:firstLine="640" w:firstLineChars="200"/>
        <w:rPr>
          <w:rFonts w:ascii="仿宋_GB2312" w:hAnsi="仿宋_GB2312" w:eastAsia="仿宋_GB2312" w:cs="仿宋_GB2312"/>
          <w:sz w:val="32"/>
          <w:szCs w:val="32"/>
        </w:rPr>
      </w:pPr>
    </w:p>
    <w:p>
      <w:pPr>
        <w:widowControl/>
        <w:spacing w:line="360" w:lineRule="auto"/>
        <w:jc w:val="center"/>
        <w:rPr>
          <w:rFonts w:ascii="仿宋_GB2312" w:hAnsi="仿宋_GB2312" w:eastAsia="仿宋_GB2312" w:cs="仿宋_GB2312"/>
          <w:b/>
          <w:bCs/>
          <w:sz w:val="32"/>
          <w:szCs w:val="32"/>
        </w:rPr>
      </w:pPr>
      <w:bookmarkStart w:id="26" w:name="_Toc27713_WPSOffice_Level2"/>
      <w:bookmarkStart w:id="27" w:name="_Toc1192_WPSOffice_Level2"/>
      <w:r>
        <w:rPr>
          <w:rFonts w:hint="eastAsia" w:ascii="仿宋_GB2312" w:hAnsi="仿宋_GB2312" w:eastAsia="仿宋_GB2312" w:cs="仿宋_GB2312"/>
          <w:b/>
          <w:bCs/>
          <w:sz w:val="32"/>
          <w:szCs w:val="32"/>
        </w:rPr>
        <w:t>附件五：</w:t>
      </w:r>
      <w:bookmarkStart w:id="28" w:name="_Toc9523"/>
      <w:bookmarkStart w:id="29" w:name="_Toc490129712"/>
      <w:bookmarkStart w:id="30" w:name="_Toc15170"/>
      <w:bookmarkStart w:id="31" w:name="_Toc444475084"/>
      <w:bookmarkStart w:id="32" w:name="_Toc425426647"/>
      <w:r>
        <w:rPr>
          <w:rFonts w:hint="eastAsia" w:ascii="仿宋_GB2312" w:hAnsi="仿宋_GB2312" w:eastAsia="仿宋_GB2312" w:cs="仿宋_GB2312"/>
          <w:b/>
          <w:bCs/>
          <w:sz w:val="32"/>
          <w:szCs w:val="32"/>
        </w:rPr>
        <w:t>法定代表人授权委托书</w:t>
      </w:r>
      <w:bookmarkEnd w:id="26"/>
      <w:bookmarkEnd w:id="27"/>
      <w:bookmarkEnd w:id="28"/>
      <w:bookmarkEnd w:id="29"/>
      <w:bookmarkEnd w:id="30"/>
      <w:bookmarkEnd w:id="31"/>
      <w:bookmarkEnd w:id="32"/>
    </w:p>
    <w:p>
      <w:pPr>
        <w:widowControl/>
        <w:spacing w:line="360" w:lineRule="auto"/>
        <w:ind w:firstLine="563" w:firstLineChars="176"/>
        <w:rPr>
          <w:rFonts w:ascii="仿宋_GB2312" w:eastAsia="仿宋_GB2312"/>
          <w:bCs/>
          <w:color w:val="000000"/>
          <w:kern w:val="0"/>
          <w:sz w:val="32"/>
          <w:szCs w:val="32"/>
          <w:u w:val="single"/>
          <w:lang w:bidi="en-US"/>
        </w:rPr>
      </w:pPr>
    </w:p>
    <w:p>
      <w:pPr>
        <w:widowControl/>
        <w:spacing w:line="360" w:lineRule="auto"/>
        <w:rPr>
          <w:rFonts w:ascii="仿宋_GB2312" w:eastAsia="仿宋_GB2312"/>
          <w:bCs/>
          <w:color w:val="000000"/>
          <w:kern w:val="0"/>
          <w:sz w:val="28"/>
          <w:szCs w:val="28"/>
          <w:lang w:bidi="en-US"/>
        </w:rPr>
      </w:pPr>
      <w:r>
        <w:rPr>
          <w:rFonts w:hint="eastAsia" w:ascii="仿宋_GB2312" w:eastAsia="仿宋_GB2312"/>
          <w:bCs/>
          <w:color w:val="000000"/>
          <w:kern w:val="0"/>
          <w:sz w:val="28"/>
          <w:szCs w:val="28"/>
          <w:u w:val="single"/>
          <w:lang w:bidi="en-US"/>
        </w:rPr>
        <w:t xml:space="preserve">           （竞争性谈判人名称）             </w:t>
      </w:r>
      <w:r>
        <w:rPr>
          <w:rFonts w:hint="eastAsia" w:ascii="仿宋_GB2312" w:eastAsia="仿宋_GB2312"/>
          <w:bCs/>
          <w:color w:val="000000"/>
          <w:kern w:val="0"/>
          <w:sz w:val="28"/>
          <w:szCs w:val="28"/>
          <w:lang w:bidi="en-US"/>
        </w:rPr>
        <w:t>：</w:t>
      </w: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本授权委托书声明：我</w:t>
      </w:r>
      <w:r>
        <w:rPr>
          <w:rFonts w:hint="eastAsia" w:ascii="仿宋_GB2312" w:eastAsia="仿宋_GB2312"/>
          <w:bCs/>
          <w:color w:val="000000"/>
          <w:kern w:val="0"/>
          <w:sz w:val="28"/>
          <w:szCs w:val="28"/>
          <w:u w:val="single"/>
          <w:lang w:bidi="en-US"/>
        </w:rPr>
        <w:t xml:space="preserve">    （姓名）    </w:t>
      </w:r>
      <w:r>
        <w:rPr>
          <w:rFonts w:hint="eastAsia" w:ascii="仿宋_GB2312" w:eastAsia="仿宋_GB2312"/>
          <w:bCs/>
          <w:color w:val="000000"/>
          <w:kern w:val="0"/>
          <w:sz w:val="28"/>
          <w:szCs w:val="28"/>
          <w:lang w:bidi="en-US"/>
        </w:rPr>
        <w:t>系</w:t>
      </w:r>
      <w:r>
        <w:rPr>
          <w:rFonts w:hint="eastAsia" w:ascii="仿宋_GB2312" w:eastAsia="仿宋_GB2312"/>
          <w:bCs/>
          <w:color w:val="000000"/>
          <w:kern w:val="0"/>
          <w:sz w:val="28"/>
          <w:szCs w:val="28"/>
          <w:u w:val="single"/>
          <w:lang w:bidi="en-US"/>
        </w:rPr>
        <w:t xml:space="preserve">    （竞争性谈判申请人名称）     </w:t>
      </w:r>
      <w:r>
        <w:rPr>
          <w:rFonts w:hint="eastAsia" w:ascii="仿宋_GB2312" w:eastAsia="仿宋_GB2312"/>
          <w:bCs/>
          <w:color w:val="000000"/>
          <w:kern w:val="0"/>
          <w:sz w:val="28"/>
          <w:szCs w:val="28"/>
          <w:lang w:bidi="en-US"/>
        </w:rPr>
        <w:t>的法定代表人，现授权委托</w:t>
      </w:r>
      <w:r>
        <w:rPr>
          <w:rFonts w:hint="eastAsia" w:ascii="仿宋_GB2312" w:eastAsia="仿宋_GB2312"/>
          <w:bCs/>
          <w:color w:val="000000"/>
          <w:kern w:val="0"/>
          <w:sz w:val="28"/>
          <w:szCs w:val="28"/>
          <w:u w:val="single"/>
          <w:lang w:bidi="en-US"/>
        </w:rPr>
        <w:t xml:space="preserve"> （被委托人姓名、职务） </w:t>
      </w:r>
      <w:r>
        <w:rPr>
          <w:rFonts w:hint="eastAsia" w:ascii="仿宋_GB2312" w:eastAsia="仿宋_GB2312"/>
          <w:bCs/>
          <w:color w:val="000000"/>
          <w:kern w:val="0"/>
          <w:sz w:val="28"/>
          <w:szCs w:val="28"/>
          <w:lang w:bidi="en-US"/>
        </w:rPr>
        <w:t>（居民身份证号：</w:t>
      </w:r>
      <w:r>
        <w:rPr>
          <w:rFonts w:hint="eastAsia" w:ascii="仿宋_GB2312" w:eastAsia="仿宋_GB2312"/>
          <w:bCs/>
          <w:color w:val="000000"/>
          <w:kern w:val="0"/>
          <w:sz w:val="28"/>
          <w:szCs w:val="28"/>
          <w:u w:val="single"/>
          <w:lang w:bidi="en-US"/>
        </w:rPr>
        <w:t xml:space="preserve">                   </w:t>
      </w:r>
      <w:r>
        <w:rPr>
          <w:rFonts w:hint="eastAsia" w:ascii="仿宋_GB2312" w:eastAsia="仿宋_GB2312"/>
          <w:bCs/>
          <w:color w:val="000000"/>
          <w:kern w:val="0"/>
          <w:sz w:val="28"/>
          <w:szCs w:val="28"/>
          <w:lang w:bidi="en-US"/>
        </w:rPr>
        <w:t>）为我单位的委托代理人，以本公司的名义参加</w:t>
      </w:r>
      <w:r>
        <w:rPr>
          <w:rFonts w:hint="eastAsia" w:ascii="仿宋_GB2312" w:eastAsia="仿宋_GB2312"/>
          <w:bCs/>
          <w:color w:val="000000"/>
          <w:kern w:val="0"/>
          <w:sz w:val="28"/>
          <w:szCs w:val="28"/>
          <w:u w:val="single"/>
          <w:lang w:bidi="en-US"/>
        </w:rPr>
        <w:t xml:space="preserve">    （竞争性谈判人）    </w:t>
      </w:r>
      <w:r>
        <w:rPr>
          <w:rFonts w:hint="eastAsia" w:ascii="仿宋_GB2312" w:eastAsia="仿宋_GB2312"/>
          <w:bCs/>
          <w:color w:val="000000"/>
          <w:kern w:val="0"/>
          <w:sz w:val="28"/>
          <w:szCs w:val="28"/>
          <w:lang w:bidi="en-US"/>
        </w:rPr>
        <w:t xml:space="preserve">的 </w:t>
      </w:r>
      <w:r>
        <w:rPr>
          <w:rFonts w:hint="eastAsia" w:ascii="仿宋_GB2312" w:eastAsia="仿宋_GB2312"/>
          <w:bCs/>
          <w:color w:val="000000"/>
          <w:kern w:val="0"/>
          <w:sz w:val="28"/>
          <w:szCs w:val="28"/>
          <w:u w:val="single"/>
          <w:lang w:bidi="en-US"/>
        </w:rPr>
        <w:t xml:space="preserve">     （项目名称）     </w:t>
      </w:r>
      <w:r>
        <w:rPr>
          <w:rFonts w:hint="eastAsia" w:ascii="仿宋_GB2312" w:eastAsia="仿宋_GB2312"/>
          <w:bCs/>
          <w:color w:val="000000"/>
          <w:kern w:val="0"/>
          <w:sz w:val="28"/>
          <w:szCs w:val="28"/>
          <w:lang w:bidi="en-US"/>
        </w:rPr>
        <w:t>项目的竞谈活动。代理人在竞争性谈判申请文件、竞谈、合同谈判、签订合同过程中所签署的一切文件和处理与之相关的一切事务，我均以承认。其签字真迹如本授权委托书末尾所示，特此证明。</w:t>
      </w: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代理人无权转让委托权。特此委托。</w:t>
      </w:r>
    </w:p>
    <w:p>
      <w:pPr>
        <w:widowControl/>
        <w:spacing w:line="360" w:lineRule="auto"/>
        <w:ind w:firstLine="492" w:firstLineChars="176"/>
        <w:rPr>
          <w:rFonts w:ascii="仿宋_GB2312" w:eastAsia="仿宋_GB2312"/>
          <w:bCs/>
          <w:color w:val="000000"/>
          <w:kern w:val="0"/>
          <w:sz w:val="28"/>
          <w:szCs w:val="28"/>
          <w:lang w:bidi="en-US"/>
        </w:rPr>
      </w:pP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授权委托单位：</w:t>
      </w:r>
      <w:r>
        <w:rPr>
          <w:rFonts w:hint="eastAsia" w:ascii="仿宋_GB2312" w:eastAsia="仿宋_GB2312"/>
          <w:bCs/>
          <w:color w:val="000000"/>
          <w:kern w:val="0"/>
          <w:sz w:val="28"/>
          <w:szCs w:val="28"/>
          <w:u w:val="single"/>
          <w:lang w:bidi="en-US"/>
        </w:rPr>
        <w:t xml:space="preserve">    （名称）</w:t>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lang w:bidi="en-US"/>
        </w:rPr>
        <w:t xml:space="preserve">（盖单位公章）  </w:t>
      </w: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法定代表人：</w:t>
      </w:r>
      <w:r>
        <w:rPr>
          <w:rFonts w:hint="eastAsia" w:ascii="仿宋_GB2312" w:eastAsia="仿宋_GB2312"/>
          <w:bCs/>
          <w:color w:val="000000"/>
          <w:kern w:val="0"/>
          <w:sz w:val="28"/>
          <w:szCs w:val="28"/>
          <w:u w:val="single"/>
          <w:lang w:bidi="en-US"/>
        </w:rPr>
        <w:t xml:space="preserve">      （姓名）</w:t>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lang w:bidi="en-US"/>
        </w:rPr>
        <w:t xml:space="preserve">（签字）  </w:t>
      </w: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委托代理人：</w:t>
      </w:r>
      <w:r>
        <w:rPr>
          <w:rFonts w:hint="eastAsia" w:ascii="仿宋_GB2312" w:eastAsia="仿宋_GB2312"/>
          <w:bCs/>
          <w:color w:val="000000"/>
          <w:kern w:val="0"/>
          <w:sz w:val="28"/>
          <w:szCs w:val="28"/>
          <w:u w:val="single"/>
          <w:lang w:bidi="en-US"/>
        </w:rPr>
        <w:t xml:space="preserve">      （姓名）</w:t>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u w:val="single"/>
          <w:lang w:bidi="en-US"/>
        </w:rPr>
        <w:tab/>
      </w:r>
      <w:r>
        <w:rPr>
          <w:rFonts w:hint="eastAsia" w:ascii="仿宋_GB2312" w:eastAsia="仿宋_GB2312"/>
          <w:bCs/>
          <w:color w:val="000000"/>
          <w:kern w:val="0"/>
          <w:sz w:val="28"/>
          <w:szCs w:val="28"/>
          <w:lang w:bidi="en-US"/>
        </w:rPr>
        <w:t xml:space="preserve">（签字）  </w:t>
      </w:r>
    </w:p>
    <w:p>
      <w:pPr>
        <w:widowControl/>
        <w:spacing w:line="360" w:lineRule="auto"/>
        <w:ind w:firstLine="492" w:firstLineChars="176"/>
        <w:rPr>
          <w:rFonts w:ascii="仿宋_GB2312" w:eastAsia="仿宋_GB2312"/>
          <w:bCs/>
          <w:color w:val="000000"/>
          <w:kern w:val="0"/>
          <w:sz w:val="28"/>
          <w:szCs w:val="28"/>
          <w:lang w:bidi="en-US"/>
        </w:rPr>
      </w:pPr>
      <w:r>
        <w:rPr>
          <w:rFonts w:hint="eastAsia" w:ascii="仿宋_GB2312" w:eastAsia="仿宋_GB2312"/>
          <w:bCs/>
          <w:color w:val="000000"/>
          <w:kern w:val="0"/>
          <w:sz w:val="28"/>
          <w:szCs w:val="28"/>
          <w:lang w:bidi="en-US"/>
        </w:rPr>
        <w:t>授权委托日期：</w:t>
      </w:r>
      <w:r>
        <w:rPr>
          <w:rFonts w:hint="eastAsia" w:ascii="仿宋_GB2312" w:eastAsia="仿宋_GB2312"/>
          <w:bCs/>
          <w:color w:val="000000"/>
          <w:kern w:val="0"/>
          <w:sz w:val="28"/>
          <w:szCs w:val="28"/>
          <w:u w:val="single"/>
          <w:lang w:bidi="en-US"/>
        </w:rPr>
        <w:t xml:space="preserve">      </w:t>
      </w:r>
      <w:r>
        <w:rPr>
          <w:rFonts w:hint="eastAsia" w:ascii="仿宋_GB2312" w:eastAsia="仿宋_GB2312"/>
          <w:bCs/>
          <w:color w:val="000000"/>
          <w:kern w:val="0"/>
          <w:sz w:val="28"/>
          <w:szCs w:val="28"/>
          <w:lang w:bidi="en-US"/>
        </w:rPr>
        <w:t>年</w:t>
      </w:r>
      <w:r>
        <w:rPr>
          <w:rFonts w:hint="eastAsia" w:ascii="仿宋_GB2312" w:eastAsia="仿宋_GB2312"/>
          <w:bCs/>
          <w:color w:val="000000"/>
          <w:kern w:val="0"/>
          <w:sz w:val="28"/>
          <w:szCs w:val="28"/>
          <w:u w:val="single"/>
          <w:lang w:bidi="en-US"/>
        </w:rPr>
        <w:t xml:space="preserve">    </w:t>
      </w:r>
      <w:r>
        <w:rPr>
          <w:rFonts w:hint="eastAsia" w:ascii="仿宋_GB2312" w:eastAsia="仿宋_GB2312"/>
          <w:bCs/>
          <w:color w:val="000000"/>
          <w:kern w:val="0"/>
          <w:sz w:val="28"/>
          <w:szCs w:val="28"/>
          <w:lang w:bidi="en-US"/>
        </w:rPr>
        <w:t>月</w:t>
      </w:r>
      <w:r>
        <w:rPr>
          <w:rFonts w:hint="eastAsia" w:ascii="仿宋_GB2312" w:eastAsia="仿宋_GB2312"/>
          <w:bCs/>
          <w:color w:val="000000"/>
          <w:kern w:val="0"/>
          <w:sz w:val="28"/>
          <w:szCs w:val="28"/>
          <w:u w:val="single"/>
          <w:lang w:bidi="en-US"/>
        </w:rPr>
        <w:t xml:space="preserve">    </w:t>
      </w:r>
      <w:r>
        <w:rPr>
          <w:rFonts w:hint="eastAsia" w:ascii="仿宋_GB2312" w:eastAsia="仿宋_GB2312"/>
          <w:bCs/>
          <w:color w:val="000000"/>
          <w:kern w:val="0"/>
          <w:sz w:val="28"/>
          <w:szCs w:val="28"/>
          <w:lang w:bidi="en-US"/>
        </w:rPr>
        <w:t>日</w:t>
      </w:r>
    </w:p>
    <w:p>
      <w:pPr>
        <w:widowControl/>
        <w:spacing w:line="360" w:lineRule="auto"/>
        <w:ind w:firstLine="492" w:firstLineChars="176"/>
        <w:rPr>
          <w:rFonts w:ascii="仿宋_GB2312" w:eastAsia="仿宋_GB2312"/>
          <w:bCs/>
          <w:color w:val="000000"/>
          <w:kern w:val="0"/>
          <w:sz w:val="28"/>
          <w:szCs w:val="28"/>
          <w:lang w:bidi="en-US"/>
        </w:rPr>
      </w:pPr>
    </w:p>
    <w:tbl>
      <w:tblPr>
        <w:tblStyle w:val="9"/>
        <w:tblpPr w:leftFromText="180" w:rightFromText="180" w:vertAnchor="text" w:horzAnchor="page" w:tblpX="6830" w:tblpY="182"/>
        <w:tblOverlap w:val="never"/>
        <w:tblW w:w="4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4060" w:type="dxa"/>
            <w:vAlign w:val="center"/>
          </w:tcPr>
          <w:p>
            <w:pPr>
              <w:widowControl/>
              <w:spacing w:line="360" w:lineRule="auto"/>
              <w:jc w:val="center"/>
              <w:rPr>
                <w:rFonts w:ascii="仿宋_GB2312" w:eastAsia="仿宋_GB2312"/>
                <w:bCs/>
                <w:color w:val="000000"/>
                <w:kern w:val="0"/>
                <w:sz w:val="32"/>
                <w:szCs w:val="32"/>
                <w:lang w:bidi="en-US"/>
              </w:rPr>
            </w:pPr>
            <w:r>
              <w:rPr>
                <w:rFonts w:hint="eastAsia" w:ascii="仿宋_GB2312" w:eastAsia="仿宋_GB2312"/>
                <w:bCs/>
                <w:color w:val="000000"/>
                <w:kern w:val="0"/>
                <w:sz w:val="24"/>
                <w:lang w:bidi="en-US"/>
              </w:rPr>
              <w:t>附委托代理人身份证反面复印件</w:t>
            </w:r>
          </w:p>
        </w:tc>
      </w:tr>
    </w:tbl>
    <w:tbl>
      <w:tblPr>
        <w:tblStyle w:val="9"/>
        <w:tblpPr w:leftFromText="180" w:rightFromText="180" w:vertAnchor="text" w:horzAnchor="page" w:tblpX="1655" w:tblpY="207"/>
        <w:tblOverlap w:val="never"/>
        <w:tblW w:w="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4100" w:type="dxa"/>
            <w:vAlign w:val="center"/>
          </w:tcPr>
          <w:p>
            <w:pPr>
              <w:widowControl/>
              <w:spacing w:line="360" w:lineRule="auto"/>
              <w:jc w:val="center"/>
              <w:rPr>
                <w:rFonts w:ascii="仿宋_GB2312" w:eastAsia="仿宋_GB2312"/>
                <w:bCs/>
                <w:color w:val="000000"/>
                <w:kern w:val="0"/>
                <w:sz w:val="32"/>
                <w:szCs w:val="32"/>
                <w:lang w:bidi="en-US"/>
              </w:rPr>
            </w:pPr>
            <w:r>
              <w:rPr>
                <w:rFonts w:hint="eastAsia" w:ascii="仿宋_GB2312" w:eastAsia="仿宋_GB2312"/>
                <w:bCs/>
                <w:color w:val="000000"/>
                <w:kern w:val="0"/>
                <w:sz w:val="24"/>
                <w:lang w:bidi="en-US"/>
              </w:rPr>
              <w:t>附委托代理人身份证正面复印件</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hAnsi="仿宋_GB2312" w:eastAsia="仿宋_GB2312" w:cs="仿宋_GB2312"/>
          <w:b/>
          <w:bCs/>
          <w:sz w:val="32"/>
          <w:szCs w:val="32"/>
        </w:rPr>
      </w:pPr>
    </w:p>
    <w:p>
      <w:pPr>
        <w:widowControl/>
        <w:spacing w:line="360" w:lineRule="auto"/>
        <w:jc w:val="center"/>
        <w:rPr>
          <w:rFonts w:ascii="仿宋_GB2312" w:hAnsi="仿宋_GB2312" w:eastAsia="仿宋_GB2312" w:cs="仿宋_GB2312"/>
          <w:b/>
          <w:bCs/>
          <w:sz w:val="32"/>
          <w:szCs w:val="32"/>
        </w:rPr>
      </w:pPr>
      <w:bookmarkStart w:id="33" w:name="_Toc16545_WPSOffice_Level2"/>
      <w:bookmarkStart w:id="34" w:name="_Toc17776_WPSOffice_Level2"/>
      <w:r>
        <w:rPr>
          <w:rFonts w:hint="eastAsia" w:ascii="仿宋_GB2312" w:hAnsi="仿宋_GB2312" w:eastAsia="仿宋_GB2312" w:cs="仿宋_GB2312"/>
          <w:b/>
          <w:bCs/>
          <w:sz w:val="32"/>
          <w:szCs w:val="32"/>
        </w:rPr>
        <w:t>附件六：业绩证明</w:t>
      </w:r>
      <w:bookmarkEnd w:id="33"/>
      <w:bookmarkEnd w:id="34"/>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00"/>
        <w:jc w:val="center"/>
        <w:rPr>
          <w:rFonts w:ascii="黑体" w:hAnsi="黑体" w:eastAsia="黑体" w:cs="黑体"/>
          <w:b/>
          <w:sz w:val="32"/>
          <w:szCs w:val="32"/>
        </w:rPr>
      </w:pPr>
      <w:bookmarkStart w:id="35" w:name="_Toc25820_WPSOffice_Level1"/>
      <w:r>
        <w:rPr>
          <w:rFonts w:hint="eastAsia" w:ascii="黑体" w:hAnsi="黑体" w:eastAsia="黑体" w:cs="黑体"/>
          <w:b/>
          <w:sz w:val="32"/>
          <w:szCs w:val="32"/>
        </w:rPr>
        <w:t>第六章 服务计划及服务承诺</w:t>
      </w:r>
      <w:bookmarkEnd w:id="35"/>
    </w:p>
    <w:p>
      <w:pPr>
        <w:ind w:firstLine="600"/>
        <w:jc w:val="center"/>
        <w:rPr>
          <w:rFonts w:ascii="仿宋_GB2312" w:eastAsia="仿宋_GB2312"/>
          <w:sz w:val="28"/>
          <w:szCs w:val="28"/>
        </w:rPr>
      </w:pPr>
      <w:r>
        <w:rPr>
          <w:rFonts w:hint="eastAsia" w:ascii="仿宋_GB2312" w:eastAsia="仿宋_GB2312"/>
          <w:sz w:val="28"/>
          <w:szCs w:val="28"/>
        </w:rPr>
        <w:t>（按照竞谈人的服务内容及要求自行编制，重点列明服务方案、服务承诺等）</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3693795</wp:posOffset>
              </wp:positionH>
              <wp:positionV relativeFrom="page">
                <wp:posOffset>9944100</wp:posOffset>
              </wp:positionV>
              <wp:extent cx="231775" cy="73025"/>
              <wp:effectExtent l="0" t="0" r="0" b="0"/>
              <wp:wrapNone/>
              <wp:docPr id="30" name="Shape 3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30"/>
                            <w:jc w:val="left"/>
                            <w:rPr>
                              <w:sz w:val="16"/>
                              <w:szCs w:val="16"/>
                            </w:rPr>
                          </w:pPr>
                          <w:r>
                            <w:rPr>
                              <w:rFonts w:ascii="Times New Roman" w:hAnsi="Times New Roman" w:eastAsia="Times New Roman" w:cs="Times New Roman"/>
                              <w:color w:val="000000"/>
                              <w:sz w:val="16"/>
                              <w:szCs w:val="16"/>
                            </w:rPr>
                            <w:t>-</w:t>
                          </w:r>
                          <w:r>
                            <w:fldChar w:fldCharType="begin"/>
                          </w:r>
                          <w:r>
                            <w:instrText xml:space="preserve"> PAGE \* MERGEFORMAT </w:instrText>
                          </w:r>
                          <w:r>
                            <w:fldChar w:fldCharType="separate"/>
                          </w:r>
                          <w:r>
                            <w:rPr>
                              <w:rFonts w:ascii="Times New Roman" w:hAnsi="Times New Roman" w:eastAsia="Times New Roman" w:cs="Times New Roman"/>
                              <w:color w:val="000000"/>
                              <w:sz w:val="16"/>
                              <w:szCs w:val="16"/>
                            </w:rPr>
                            <w:t>#</w:t>
                          </w:r>
                          <w:r>
                            <w:rPr>
                              <w:rFonts w:ascii="Times New Roman" w:hAnsi="Times New Roman" w:eastAsia="Times New Roman" w:cs="Times New Roman"/>
                              <w:color w:val="000000"/>
                              <w:sz w:val="16"/>
                              <w:szCs w:val="16"/>
                            </w:rPr>
                            <w:fldChar w:fldCharType="end"/>
                          </w:r>
                          <w:r>
                            <w:rPr>
                              <w:rFonts w:ascii="Times New Roman" w:hAnsi="Times New Roman" w:eastAsia="Times New Roman" w:cs="Times New Roman"/>
                              <w:color w:val="000000"/>
                              <w:sz w:val="16"/>
                              <w:szCs w:val="16"/>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290.85pt;margin-top:783pt;height:5.75pt;width:18.25pt;mso-position-horizontal-relative:page;mso-position-vertical-relative:page;mso-wrap-style:none;z-index:-251655168;mso-width-relative:page;mso-height-relative:page;" filled="f" stroked="f" coordsize="21600,21600" o:gfxdata="UEsDBAoAAAAAAIdO4kAAAAAAAAAAAAAAAAAEAAAAZHJzL1BLAwQUAAAACACHTuJAFn6F89cAAAAN&#10;AQAADwAAAGRycy9kb3ducmV2LnhtbE2PS2vDMBCE74X8B7GF3hrZAT9wLOcQyKW3pqXQm2JtLFM9&#10;jKQ49r/v5tQed+ZjdqY9LNawGUMcvROQbzNg6HqvRjcI+Pw4vdbAYpJOSeMdClgxwqHbPLWyUf7u&#10;3nE+p4FRiIuNFKBTmhrOY6/Ryrj1Ezryrj5YmegMA1dB3incGr7LspJbOTr6oOWER439z/lmBVTL&#10;l8cp4hG/r3Mf9LjW5m0V4uU5z/bAEi7pD4ZHfaoOHXW6+JtTkRkBRZ1XhJJRlCWtIqTM6x2wy0Oq&#10;qgJ41/L/K7pfUEsDBBQAAAAIAIdO4kCeYw7XuQEAAJYDAAAOAAAAZHJzL2Uyb0RvYy54bWytU01v&#10;2zAMvQ/YfxB0b+wk6DIYcYoVQYcBwzag2w9QZCoWoC+ISuz8+1Gyk27dpYddZJKiHvke6e3DaA07&#10;Q0TtXcuXi5ozcNJ32h1b/uvn091HzjAJ1wnjHbT8Asgfdu/fbYfQwMr33nQQGYE4bIbQ8j6l0FQV&#10;yh6swIUP4OhS+WhFIjceqy6KgdCtqVZ1/aEafOxC9BIQKbqfLvmMGN8C6JXSEvZeniy4NKFGMCIR&#10;Jex1QL4r3SoFMn1XCiEx03JimspJRcg+5LPabUVzjCL0Ws4tiLe08IqTFdpR0RvUXiTBTlH/A2W1&#10;jB69SgvpbTURKYoQi2X9SpvnXgQoXEhqDDfR8f/Bym/nH5HpruVrksQJSxMvZRn5JM4QsKGc50BZ&#10;aXz0I63MNY4UzJxHFW3+EhtG94RzuUkLY2KSgqv1crO550zS1WZdr+4zSPXyNkRMn8Fblo2WRxpc&#10;0VOcv2KaUq8puZTzT9qYMjzj/goQ5hSBMv35daYxtZutNB7GmdvBdxeiNtAGtNzRwnNmvjgSOC/L&#10;1YhX4zAbuSKGT6dEbZTuMuoERayyQ+Mq/ObVyvvwp1+yXn6n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foXz1wAAAA0BAAAPAAAAAAAAAAEAIAAAACIAAABkcnMvZG93bnJldi54bWxQSwECFAAU&#10;AAAACACHTuJAnmMO17kBAACWAwAADgAAAAAAAAABACAAAAAmAQAAZHJzL2Uyb0RvYy54bWxQSwUG&#10;AAAAAAYABgBZAQAAUQUAAAAA&#10;">
              <v:fill on="f" focussize="0,0"/>
              <v:stroke on="f"/>
              <v:imagedata o:title=""/>
              <o:lock v:ext="edit" aspectratio="f"/>
              <v:textbox inset="0mm,0mm,0mm,0mm" style="mso-fit-shape-to-text:t;">
                <w:txbxContent>
                  <w:p>
                    <w:pPr>
                      <w:pStyle w:val="30"/>
                      <w:jc w:val="left"/>
                      <w:rPr>
                        <w:sz w:val="16"/>
                        <w:szCs w:val="16"/>
                      </w:rPr>
                    </w:pPr>
                    <w:r>
                      <w:rPr>
                        <w:rFonts w:ascii="Times New Roman" w:hAnsi="Times New Roman" w:eastAsia="Times New Roman" w:cs="Times New Roman"/>
                        <w:color w:val="000000"/>
                        <w:sz w:val="16"/>
                        <w:szCs w:val="16"/>
                      </w:rPr>
                      <w:t>-</w:t>
                    </w:r>
                    <w:r>
                      <w:fldChar w:fldCharType="begin"/>
                    </w:r>
                    <w:r>
                      <w:instrText xml:space="preserve"> PAGE \* MERGEFORMAT </w:instrText>
                    </w:r>
                    <w:r>
                      <w:fldChar w:fldCharType="separate"/>
                    </w:r>
                    <w:r>
                      <w:rPr>
                        <w:rFonts w:ascii="Times New Roman" w:hAnsi="Times New Roman" w:eastAsia="Times New Roman" w:cs="Times New Roman"/>
                        <w:color w:val="000000"/>
                        <w:sz w:val="16"/>
                        <w:szCs w:val="16"/>
                      </w:rPr>
                      <w:t>#</w:t>
                    </w:r>
                    <w:r>
                      <w:rPr>
                        <w:rFonts w:ascii="Times New Roman" w:hAnsi="Times New Roman" w:eastAsia="Times New Roman" w:cs="Times New Roman"/>
                        <w:color w:val="000000"/>
                        <w:sz w:val="16"/>
                        <w:szCs w:val="16"/>
                      </w:rPr>
                      <w:fldChar w:fldCharType="end"/>
                    </w:r>
                    <w:r>
                      <w:rPr>
                        <w:rFonts w:ascii="Times New Roman" w:hAnsi="Times New Roman" w:eastAsia="Times New Roman" w:cs="Times New Roman"/>
                        <w:color w:val="000000"/>
                        <w:sz w:val="16"/>
                        <w:szCs w:val="1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ascii="黑体" w:hAnsi="黑体" w:eastAsia="黑体" w:cs="黑体"/>
        <w:bCs/>
        <w:sz w:val="21"/>
        <w:szCs w:val="21"/>
      </w:rPr>
    </w:pPr>
    <w:r>
      <w:rPr>
        <w:rFonts w:hint="eastAsia" w:ascii="黑体" w:hAnsi="黑体" w:eastAsia="黑体" w:cs="黑体"/>
        <w:bCs/>
        <w:sz w:val="21"/>
        <w:szCs w:val="21"/>
      </w:rPr>
      <w:t>*</w:t>
    </w:r>
    <w:r>
      <w:rPr>
        <w:rFonts w:ascii="黑体" w:hAnsi="黑体" w:eastAsia="黑体" w:cs="黑体"/>
        <w:bCs/>
        <w:sz w:val="21"/>
        <w:szCs w:val="21"/>
      </w:rPr>
      <w:t>****</w:t>
    </w:r>
    <w:r>
      <w:rPr>
        <w:rFonts w:hint="eastAsia" w:ascii="黑体" w:hAnsi="黑体" w:eastAsia="黑体" w:cs="黑体"/>
        <w:bCs/>
        <w:sz w:val="21"/>
        <w:szCs w:val="21"/>
      </w:rPr>
      <w:t>公司工程专项审计服务项目竞争性谈判文件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ge">
                <wp:posOffset>600710</wp:posOffset>
              </wp:positionV>
              <wp:extent cx="3907790" cy="125095"/>
              <wp:effectExtent l="0" t="0" r="8890" b="5080"/>
              <wp:wrapNone/>
              <wp:docPr id="28" name="Shape 28"/>
              <wp:cNvGraphicFramePr/>
              <a:graphic xmlns:a="http://schemas.openxmlformats.org/drawingml/2006/main">
                <a:graphicData uri="http://schemas.microsoft.com/office/word/2010/wordprocessingShape">
                  <wps:wsp>
                    <wps:cNvSpPr txBox="1"/>
                    <wps:spPr>
                      <a:xfrm>
                        <a:off x="0" y="0"/>
                        <a:ext cx="3907790" cy="125095"/>
                      </a:xfrm>
                      <a:prstGeom prst="rect">
                        <a:avLst/>
                      </a:prstGeom>
                      <a:noFill/>
                      <a:ln>
                        <a:noFill/>
                      </a:ln>
                      <a:effectLst/>
                    </wps:spPr>
                    <wps:txbx>
                      <w:txbxContent>
                        <w:p>
                          <w:pPr>
                            <w:pStyle w:val="7"/>
                            <w:pBdr>
                              <w:bottom w:val="none" w:color="auto" w:sz="0" w:space="0"/>
                            </w:pBdr>
                            <w:jc w:val="right"/>
                            <w:rPr>
                              <w:rFonts w:ascii="黑体" w:hAnsi="黑体" w:eastAsia="黑体" w:cs="黑体"/>
                              <w:bCs/>
                              <w:sz w:val="21"/>
                              <w:szCs w:val="21"/>
                            </w:rPr>
                          </w:pPr>
                          <w:r>
                            <w:rPr>
                              <w:rFonts w:hint="eastAsia" w:ascii="黑体" w:hAnsi="黑体" w:eastAsia="黑体" w:cs="黑体"/>
                              <w:bCs/>
                              <w:sz w:val="21"/>
                              <w:szCs w:val="21"/>
                            </w:rPr>
                            <w:t>*</w:t>
                          </w:r>
                          <w:r>
                            <w:rPr>
                              <w:rFonts w:ascii="黑体" w:hAnsi="黑体" w:eastAsia="黑体" w:cs="黑体"/>
                              <w:bCs/>
                              <w:sz w:val="21"/>
                              <w:szCs w:val="21"/>
                            </w:rPr>
                            <w:t>****</w:t>
                          </w:r>
                          <w:r>
                            <w:rPr>
                              <w:rFonts w:hint="eastAsia" w:ascii="黑体" w:hAnsi="黑体" w:eastAsia="黑体" w:cs="黑体"/>
                              <w:bCs/>
                              <w:sz w:val="21"/>
                              <w:szCs w:val="21"/>
                            </w:rPr>
                            <w:t>公司工程专项审计服务项目竞争性谈判文件</w:t>
                          </w:r>
                        </w:p>
                      </w:txbxContent>
                    </wps:txbx>
                    <wps:bodyPr wrap="none" lIns="0" tIns="0" rIns="0" bIns="0">
                      <a:spAutoFit/>
                    </wps:bodyPr>
                  </wps:wsp>
                </a:graphicData>
              </a:graphic>
            </wp:anchor>
          </w:drawing>
        </mc:Choice>
        <mc:Fallback>
          <w:pict>
            <v:shape id="Shape 28" o:spid="_x0000_s1026" o:spt="202" type="#_x0000_t202" style="position:absolute;left:0pt;margin-top:47.3pt;height:9.85pt;width:307.7pt;mso-position-horizontal:right;mso-position-horizontal-relative:margin;mso-position-vertical-relative:page;mso-wrap-style:none;z-index:-251656192;mso-width-relative:page;mso-height-relative:page;" filled="f" stroked="f" coordsize="21600,21600" o:gfxdata="UEsDBAoAAAAAAIdO4kAAAAAAAAAAAAAAAAAEAAAAZHJzL1BLAwQUAAAACACHTuJAhzaYO9QAAAAH&#10;AQAADwAAAGRycy9kb3ducmV2LnhtbE2PMU/DMBSEdyT+g/WQ2KgTCKGkcTpUYmGjVEhsbvwaR7Wf&#10;o9hNk3/PY4LxdKe77+rt7J2YcIx9IAX5KgOB1AbTU6fg8Pn2sAYRkyajXSBUsGCEbXN7U+vKhCt9&#10;4LRPneASipVWYFMaKilja9HruAoDEnunMHqdWI6dNKO+crl38jHLSul1T7xg9YA7i+15f/EKXuav&#10;gEPEHX6fpna0/bJ274tS93d5tgGRcE5/YfjFZ3RomOkYLmSicAr4SFLwWpQg2C3z5wLEkWN58QSy&#10;qeV//uYHUEsDBBQAAAAIAIdO4kAWitjBuwEAAJgDAAAOAAAAZHJzL2Uyb0RvYy54bWytU01v2zAM&#10;vQ/YfxB0X+xk6LoYcYoWQYcBwzag2w9QZCoWoC+ISuz8+1Gyk67dpYddZIqkHvke6c3daA07QUTt&#10;XcuXi5ozcNJ32h1a/vvX44fPnGESrhPGO2j5GZDfbd+/2wyhgZXvvekgMgJx2Ayh5X1KoakqlD1Y&#10;gQsfwFFQ+WhFoms8VF0UA6FbU63q+lM1+NiF6CUgknc3BfmMGN8C6JXSEnZeHi24NKFGMCIRJex1&#10;QL4t3SoFMv1QCiEx03JimspJRcje57PabkRziCL0Ws4tiLe08IqTFdpR0SvUTiTBjlH/A2W1jB69&#10;SgvpbTURKYoQi2X9SpunXgQoXEhqDFfR8f/Byu+nn5HpruUrmrsTliZeyjK6kzhDwIZyngJlpfHB&#10;j7QyFz+SM3MeVbT5S2wYxUna81VaGBOT5Py4rm9v1xSSFFuubur1TYapnl+HiOkLeMuy0fJIoyuK&#10;itM3TFPqJSUXc/5RG1PGZ9wLB2FOHijzn19nIlPD2UrjfpzZ7X13JnID7UDLHa08Z+arI4nzulyM&#10;eDH2s5ErYrg/JmqjdJdRJyhilS80sMJvXq68EX/fS9bzD7X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c2mDvUAAAABwEAAA8AAAAAAAAAAQAgAAAAIgAAAGRycy9kb3ducmV2LnhtbFBLAQIUABQA&#10;AAAIAIdO4kAWitjBuwEAAJgDAAAOAAAAAAAAAAEAIAAAACMBAABkcnMvZTJvRG9jLnhtbFBLBQYA&#10;AAAABgAGAFkBAABQBQAAAAA=&#10;">
              <v:fill on="f" focussize="0,0"/>
              <v:stroke on="f"/>
              <v:imagedata o:title=""/>
              <o:lock v:ext="edit" aspectratio="f"/>
              <v:textbox inset="0mm,0mm,0mm,0mm" style="mso-fit-shape-to-text:t;">
                <w:txbxContent>
                  <w:p>
                    <w:pPr>
                      <w:pStyle w:val="7"/>
                      <w:pBdr>
                        <w:bottom w:val="none" w:color="auto" w:sz="0" w:space="0"/>
                      </w:pBdr>
                      <w:jc w:val="right"/>
                      <w:rPr>
                        <w:rFonts w:ascii="黑体" w:hAnsi="黑体" w:eastAsia="黑体" w:cs="黑体"/>
                        <w:bCs/>
                        <w:sz w:val="21"/>
                        <w:szCs w:val="21"/>
                      </w:rPr>
                    </w:pPr>
                    <w:r>
                      <w:rPr>
                        <w:rFonts w:hint="eastAsia" w:ascii="黑体" w:hAnsi="黑体" w:eastAsia="黑体" w:cs="黑体"/>
                        <w:bCs/>
                        <w:sz w:val="21"/>
                        <w:szCs w:val="21"/>
                      </w:rPr>
                      <w:t>*</w:t>
                    </w:r>
                    <w:r>
                      <w:rPr>
                        <w:rFonts w:ascii="黑体" w:hAnsi="黑体" w:eastAsia="黑体" w:cs="黑体"/>
                        <w:bCs/>
                        <w:sz w:val="21"/>
                        <w:szCs w:val="21"/>
                      </w:rPr>
                      <w:t>****</w:t>
                    </w:r>
                    <w:r>
                      <w:rPr>
                        <w:rFonts w:hint="eastAsia" w:ascii="黑体" w:hAnsi="黑体" w:eastAsia="黑体" w:cs="黑体"/>
                        <w:bCs/>
                        <w:sz w:val="21"/>
                        <w:szCs w:val="21"/>
                      </w:rPr>
                      <w:t>公司工程专项审计服务项目竞争性谈判文件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50419"/>
    <w:multiLevelType w:val="singleLevel"/>
    <w:tmpl w:val="12450419"/>
    <w:lvl w:ilvl="0" w:tentative="0">
      <w:start w:val="1"/>
      <w:numFmt w:val="decimal"/>
      <w:suff w:val="nothing"/>
      <w:lvlText w:val="（%1）"/>
      <w:lvlJc w:val="left"/>
    </w:lvl>
  </w:abstractNum>
  <w:abstractNum w:abstractNumId="1">
    <w:nsid w:val="14AC40A9"/>
    <w:multiLevelType w:val="singleLevel"/>
    <w:tmpl w:val="14AC40A9"/>
    <w:lvl w:ilvl="0" w:tentative="0">
      <w:start w:val="1"/>
      <w:numFmt w:val="decimal"/>
      <w:suff w:val="nothing"/>
      <w:lvlText w:val="（%1）"/>
      <w:lvlJc w:val="left"/>
      <w:rPr>
        <w:rFonts w:hint="default"/>
        <w:color w:val="000000" w:themeColor="text1"/>
        <w14:textFill>
          <w14:solidFill>
            <w14:schemeClr w14:val="tx1"/>
          </w14:solidFill>
        </w14:textFill>
      </w:rPr>
    </w:lvl>
  </w:abstractNum>
  <w:abstractNum w:abstractNumId="2">
    <w:nsid w:val="2FC37356"/>
    <w:multiLevelType w:val="singleLevel"/>
    <w:tmpl w:val="2FC3735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YTM1OWFjYmY3MjYxMmIyOGFiZjI2ZjhmODVhMDUifQ=="/>
  </w:docVars>
  <w:rsids>
    <w:rsidRoot w:val="07FE20D7"/>
    <w:rsid w:val="00023F5A"/>
    <w:rsid w:val="00064902"/>
    <w:rsid w:val="000C0178"/>
    <w:rsid w:val="00124F11"/>
    <w:rsid w:val="00155C99"/>
    <w:rsid w:val="00175A0E"/>
    <w:rsid w:val="00176948"/>
    <w:rsid w:val="001A4041"/>
    <w:rsid w:val="001B48FB"/>
    <w:rsid w:val="001C592D"/>
    <w:rsid w:val="001D3E2A"/>
    <w:rsid w:val="00237A7C"/>
    <w:rsid w:val="002658C2"/>
    <w:rsid w:val="002A4E19"/>
    <w:rsid w:val="002B5400"/>
    <w:rsid w:val="002D681B"/>
    <w:rsid w:val="002E2B50"/>
    <w:rsid w:val="002E42CD"/>
    <w:rsid w:val="003241DD"/>
    <w:rsid w:val="0036557D"/>
    <w:rsid w:val="003D4912"/>
    <w:rsid w:val="004049F9"/>
    <w:rsid w:val="004623F4"/>
    <w:rsid w:val="004D04BD"/>
    <w:rsid w:val="004F16FB"/>
    <w:rsid w:val="00504D20"/>
    <w:rsid w:val="0056752F"/>
    <w:rsid w:val="00622490"/>
    <w:rsid w:val="006368B6"/>
    <w:rsid w:val="007219F5"/>
    <w:rsid w:val="00776177"/>
    <w:rsid w:val="007A142B"/>
    <w:rsid w:val="007B4F7C"/>
    <w:rsid w:val="00840C44"/>
    <w:rsid w:val="008643F7"/>
    <w:rsid w:val="008A3831"/>
    <w:rsid w:val="008B2EEC"/>
    <w:rsid w:val="008C3713"/>
    <w:rsid w:val="00927349"/>
    <w:rsid w:val="009A50F2"/>
    <w:rsid w:val="00A01A07"/>
    <w:rsid w:val="00A2455B"/>
    <w:rsid w:val="00A602F7"/>
    <w:rsid w:val="00A72735"/>
    <w:rsid w:val="00A75278"/>
    <w:rsid w:val="00AD19F9"/>
    <w:rsid w:val="00AF17ED"/>
    <w:rsid w:val="00B118CE"/>
    <w:rsid w:val="00B11926"/>
    <w:rsid w:val="00B54BD0"/>
    <w:rsid w:val="00B92CD6"/>
    <w:rsid w:val="00BB65D9"/>
    <w:rsid w:val="00BC3AFD"/>
    <w:rsid w:val="00BE492C"/>
    <w:rsid w:val="00C14E0B"/>
    <w:rsid w:val="00CA5CFE"/>
    <w:rsid w:val="00CE22DC"/>
    <w:rsid w:val="00D75F52"/>
    <w:rsid w:val="00DA5264"/>
    <w:rsid w:val="00DD0E4F"/>
    <w:rsid w:val="00DF6A89"/>
    <w:rsid w:val="00E13A71"/>
    <w:rsid w:val="00E43408"/>
    <w:rsid w:val="00E776CD"/>
    <w:rsid w:val="00EB4181"/>
    <w:rsid w:val="00EC5F3C"/>
    <w:rsid w:val="00EC7E7D"/>
    <w:rsid w:val="00EE27FA"/>
    <w:rsid w:val="00EF0B93"/>
    <w:rsid w:val="00F030E2"/>
    <w:rsid w:val="00F11F1E"/>
    <w:rsid w:val="00F418D8"/>
    <w:rsid w:val="00F466C6"/>
    <w:rsid w:val="00F62403"/>
    <w:rsid w:val="00F9538E"/>
    <w:rsid w:val="00FA420F"/>
    <w:rsid w:val="02F91490"/>
    <w:rsid w:val="031666E1"/>
    <w:rsid w:val="03627FC6"/>
    <w:rsid w:val="03B0433B"/>
    <w:rsid w:val="03C63AAD"/>
    <w:rsid w:val="04F1133E"/>
    <w:rsid w:val="05587403"/>
    <w:rsid w:val="05B32BC0"/>
    <w:rsid w:val="05FE2DC5"/>
    <w:rsid w:val="063402E9"/>
    <w:rsid w:val="07493442"/>
    <w:rsid w:val="07FE20D7"/>
    <w:rsid w:val="089D0F32"/>
    <w:rsid w:val="08B46120"/>
    <w:rsid w:val="090E4527"/>
    <w:rsid w:val="0A58434F"/>
    <w:rsid w:val="0B871F4B"/>
    <w:rsid w:val="0BD00255"/>
    <w:rsid w:val="0D0E6A90"/>
    <w:rsid w:val="0D126D3B"/>
    <w:rsid w:val="0F1E1898"/>
    <w:rsid w:val="115A54CD"/>
    <w:rsid w:val="130A69F3"/>
    <w:rsid w:val="14574E75"/>
    <w:rsid w:val="147431EB"/>
    <w:rsid w:val="14BF6A81"/>
    <w:rsid w:val="150A0CB3"/>
    <w:rsid w:val="15284711"/>
    <w:rsid w:val="15925316"/>
    <w:rsid w:val="16472FF6"/>
    <w:rsid w:val="16843399"/>
    <w:rsid w:val="16F24784"/>
    <w:rsid w:val="17B60B2D"/>
    <w:rsid w:val="18982326"/>
    <w:rsid w:val="18A06164"/>
    <w:rsid w:val="18B70D86"/>
    <w:rsid w:val="1953294B"/>
    <w:rsid w:val="19C74E7A"/>
    <w:rsid w:val="1B7B24E7"/>
    <w:rsid w:val="20CF6733"/>
    <w:rsid w:val="20E60F3E"/>
    <w:rsid w:val="224911A8"/>
    <w:rsid w:val="22CC4A1C"/>
    <w:rsid w:val="239F706B"/>
    <w:rsid w:val="23AA56E9"/>
    <w:rsid w:val="23DE445C"/>
    <w:rsid w:val="247F1CF7"/>
    <w:rsid w:val="26615FA1"/>
    <w:rsid w:val="27C35D90"/>
    <w:rsid w:val="28EA6ACC"/>
    <w:rsid w:val="296161FA"/>
    <w:rsid w:val="29F00B02"/>
    <w:rsid w:val="2B720618"/>
    <w:rsid w:val="2D2E0E72"/>
    <w:rsid w:val="2DD70651"/>
    <w:rsid w:val="30BD1EBE"/>
    <w:rsid w:val="32A34747"/>
    <w:rsid w:val="337F19C1"/>
    <w:rsid w:val="338E1050"/>
    <w:rsid w:val="33CA1400"/>
    <w:rsid w:val="34761C6B"/>
    <w:rsid w:val="35CC6307"/>
    <w:rsid w:val="389A7A36"/>
    <w:rsid w:val="394B2864"/>
    <w:rsid w:val="399021F6"/>
    <w:rsid w:val="39E44983"/>
    <w:rsid w:val="3F2940F2"/>
    <w:rsid w:val="40375B60"/>
    <w:rsid w:val="41365B2C"/>
    <w:rsid w:val="41C43764"/>
    <w:rsid w:val="42B11C83"/>
    <w:rsid w:val="42CF6448"/>
    <w:rsid w:val="43CE4B06"/>
    <w:rsid w:val="49577832"/>
    <w:rsid w:val="49DF1343"/>
    <w:rsid w:val="4AD5033A"/>
    <w:rsid w:val="4B863289"/>
    <w:rsid w:val="4BA35F20"/>
    <w:rsid w:val="4C2B49FD"/>
    <w:rsid w:val="4CDC1A8E"/>
    <w:rsid w:val="4D8507BC"/>
    <w:rsid w:val="4E4D797E"/>
    <w:rsid w:val="4E921CB2"/>
    <w:rsid w:val="4FD92EE6"/>
    <w:rsid w:val="5052333F"/>
    <w:rsid w:val="508D5588"/>
    <w:rsid w:val="53B8128F"/>
    <w:rsid w:val="53CD720A"/>
    <w:rsid w:val="54451E4F"/>
    <w:rsid w:val="558F2430"/>
    <w:rsid w:val="574C4480"/>
    <w:rsid w:val="57D93DC8"/>
    <w:rsid w:val="58876DFF"/>
    <w:rsid w:val="59F96737"/>
    <w:rsid w:val="5CE90910"/>
    <w:rsid w:val="5D7F5521"/>
    <w:rsid w:val="5DC53CDB"/>
    <w:rsid w:val="5E8B1829"/>
    <w:rsid w:val="5EB93B3B"/>
    <w:rsid w:val="5F1B716B"/>
    <w:rsid w:val="5FBB46F7"/>
    <w:rsid w:val="627D3C10"/>
    <w:rsid w:val="62A8291B"/>
    <w:rsid w:val="62CE5796"/>
    <w:rsid w:val="6340077C"/>
    <w:rsid w:val="655E7735"/>
    <w:rsid w:val="65F9333A"/>
    <w:rsid w:val="6AF77782"/>
    <w:rsid w:val="6B1350B3"/>
    <w:rsid w:val="6BAB2E51"/>
    <w:rsid w:val="6BC82EB0"/>
    <w:rsid w:val="6FCE2D7E"/>
    <w:rsid w:val="6FE72497"/>
    <w:rsid w:val="7140195C"/>
    <w:rsid w:val="71D84470"/>
    <w:rsid w:val="73025309"/>
    <w:rsid w:val="730352B3"/>
    <w:rsid w:val="73327E3F"/>
    <w:rsid w:val="73D67B92"/>
    <w:rsid w:val="74CB36F6"/>
    <w:rsid w:val="76E97B46"/>
    <w:rsid w:val="77180EA9"/>
    <w:rsid w:val="77A84C5B"/>
    <w:rsid w:val="78032C9D"/>
    <w:rsid w:val="7A9B1571"/>
    <w:rsid w:val="7B0A627A"/>
    <w:rsid w:val="7B38642D"/>
    <w:rsid w:val="7BF62BDA"/>
    <w:rsid w:val="7E311789"/>
    <w:rsid w:val="7EBA0504"/>
    <w:rsid w:val="7F36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tabs>
        <w:tab w:val="left" w:pos="0"/>
      </w:tabs>
      <w:autoSpaceDE w:val="0"/>
      <w:autoSpaceDN w:val="0"/>
      <w:adjustRightInd w:val="0"/>
      <w:spacing w:line="480" w:lineRule="exact"/>
      <w:ind w:firstLine="480" w:firstLineChars="200"/>
      <w:jc w:val="left"/>
    </w:pPr>
    <w:rPr>
      <w:rFonts w:ascii="宋体" w:hAnsi="Calibri" w:eastAsia="宋体" w:cs="Times New Roman"/>
      <w:sz w:val="24"/>
    </w:rPr>
  </w:style>
  <w:style w:type="paragraph" w:styleId="4">
    <w:name w:val="Body Text Indent 2"/>
    <w:basedOn w:val="1"/>
    <w:qFormat/>
    <w:uiPriority w:val="0"/>
    <w:pPr>
      <w:ind w:firstLine="420" w:firstLineChars="200"/>
    </w:pPr>
    <w:rPr>
      <w:szCs w:val="21"/>
    </w:rPr>
  </w:style>
  <w:style w:type="paragraph" w:styleId="5">
    <w:name w:val="Balloon Text"/>
    <w:basedOn w:val="1"/>
    <w:link w:val="13"/>
    <w:qFormat/>
    <w:uiPriority w:val="0"/>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1"/>
    <w:basedOn w:val="1"/>
    <w:qFormat/>
    <w:uiPriority w:val="0"/>
    <w:pPr>
      <w:outlineLvl w:val="0"/>
    </w:pPr>
    <w:rPr>
      <w:rFonts w:eastAsia="Times New Roman"/>
      <w:kern w:val="0"/>
      <w:sz w:val="24"/>
      <w:szCs w:val="20"/>
    </w:rPr>
  </w:style>
  <w:style w:type="paragraph" w:styleId="12">
    <w:name w:val="List Paragraph"/>
    <w:basedOn w:val="1"/>
    <w:qFormat/>
    <w:uiPriority w:val="34"/>
    <w:pPr>
      <w:ind w:firstLine="420" w:firstLineChars="200"/>
    </w:p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 w:type="character" w:styleId="14">
    <w:name w:val="Placeholder Text"/>
    <w:basedOn w:val="10"/>
    <w:unhideWhenUsed/>
    <w:qFormat/>
    <w:uiPriority w:val="99"/>
    <w:rPr>
      <w:color w:val="808080"/>
    </w:rPr>
  </w:style>
  <w:style w:type="character" w:customStyle="1" w:styleId="15">
    <w:name w:val="页脚 字符"/>
    <w:basedOn w:val="10"/>
    <w:link w:val="6"/>
    <w:qFormat/>
    <w:uiPriority w:val="99"/>
    <w:rPr>
      <w:rFonts w:asciiTheme="minorHAnsi" w:hAnsiTheme="minorHAnsi" w:eastAsiaTheme="minorEastAsia" w:cstheme="minorBidi"/>
      <w:kern w:val="2"/>
      <w:sz w:val="18"/>
      <w:szCs w:val="18"/>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Heading #1|1"/>
    <w:basedOn w:val="1"/>
    <w:qFormat/>
    <w:uiPriority w:val="0"/>
    <w:pPr>
      <w:spacing w:after="120"/>
      <w:jc w:val="center"/>
      <w:outlineLvl w:val="0"/>
    </w:pPr>
    <w:rPr>
      <w:rFonts w:ascii="宋体" w:hAnsi="宋体" w:eastAsia="宋体" w:cs="宋体"/>
      <w:sz w:val="30"/>
      <w:szCs w:val="30"/>
      <w:lang w:val="zh-TW" w:eastAsia="zh-TW" w:bidi="zh-TW"/>
    </w:rPr>
  </w:style>
  <w:style w:type="paragraph" w:customStyle="1" w:styleId="19">
    <w:name w:val="Other|1"/>
    <w:basedOn w:val="1"/>
    <w:qFormat/>
    <w:uiPriority w:val="0"/>
    <w:rPr>
      <w:rFonts w:ascii="宋体" w:hAnsi="宋体" w:eastAsia="宋体" w:cs="宋体"/>
      <w:sz w:val="20"/>
      <w:szCs w:val="20"/>
      <w:lang w:val="zh-TW" w:eastAsia="zh-TW" w:bidi="zh-TW"/>
    </w:rPr>
  </w:style>
  <w:style w:type="paragraph" w:customStyle="1" w:styleId="20">
    <w:name w:val="Heading #2|1"/>
    <w:basedOn w:val="1"/>
    <w:qFormat/>
    <w:uiPriority w:val="0"/>
    <w:pPr>
      <w:spacing w:after="130"/>
      <w:jc w:val="center"/>
      <w:outlineLvl w:val="1"/>
    </w:pPr>
    <w:rPr>
      <w:rFonts w:ascii="宋体" w:hAnsi="宋体" w:eastAsia="宋体" w:cs="宋体"/>
      <w:sz w:val="28"/>
      <w:szCs w:val="28"/>
      <w:u w:val="single"/>
      <w:lang w:val="zh-TW" w:eastAsia="zh-TW" w:bidi="zh-TW"/>
    </w:rPr>
  </w:style>
  <w:style w:type="paragraph" w:customStyle="1" w:styleId="21">
    <w:name w:val="Table caption|1"/>
    <w:basedOn w:val="1"/>
    <w:qFormat/>
    <w:uiPriority w:val="0"/>
    <w:pPr>
      <w:spacing w:line="281" w:lineRule="auto"/>
    </w:pPr>
    <w:rPr>
      <w:rFonts w:ascii="宋体" w:hAnsi="宋体" w:eastAsia="宋体" w:cs="宋体"/>
      <w:sz w:val="20"/>
      <w:szCs w:val="20"/>
      <w:lang w:val="zh-TW" w:eastAsia="zh-TW" w:bidi="zh-TW"/>
    </w:rPr>
  </w:style>
  <w:style w:type="paragraph" w:customStyle="1" w:styleId="22">
    <w:name w:val="Body text|2"/>
    <w:basedOn w:val="1"/>
    <w:qFormat/>
    <w:uiPriority w:val="0"/>
    <w:pPr>
      <w:spacing w:after="1120"/>
      <w:ind w:firstLine="80"/>
    </w:pPr>
    <w:rPr>
      <w:color w:val="335D81"/>
      <w:sz w:val="17"/>
      <w:szCs w:val="17"/>
      <w:lang w:val="zh-TW" w:eastAsia="zh-TW" w:bidi="zh-TW"/>
    </w:rPr>
  </w:style>
  <w:style w:type="paragraph" w:customStyle="1" w:styleId="23">
    <w:name w:val="Heading #3|1"/>
    <w:basedOn w:val="1"/>
    <w:qFormat/>
    <w:uiPriority w:val="0"/>
    <w:pPr>
      <w:spacing w:after="140"/>
      <w:outlineLvl w:val="2"/>
    </w:pPr>
    <w:rPr>
      <w:rFonts w:ascii="宋体" w:hAnsi="宋体" w:eastAsia="宋体" w:cs="宋体"/>
      <w:color w:val="5F809D"/>
      <w:sz w:val="20"/>
      <w:szCs w:val="20"/>
      <w:lang w:val="zh-TW" w:eastAsia="zh-TW" w:bidi="zh-TW"/>
    </w:rPr>
  </w:style>
  <w:style w:type="paragraph" w:customStyle="1" w:styleId="24">
    <w:name w:val="Body text|1"/>
    <w:basedOn w:val="1"/>
    <w:qFormat/>
    <w:uiPriority w:val="0"/>
    <w:rPr>
      <w:rFonts w:ascii="宋体" w:hAnsi="宋体" w:eastAsia="宋体" w:cs="宋体"/>
      <w:sz w:val="28"/>
      <w:szCs w:val="28"/>
      <w:u w:val="single"/>
      <w:lang w:val="zh-TW" w:eastAsia="zh-TW" w:bidi="zh-TW"/>
    </w:rPr>
  </w:style>
  <w:style w:type="character" w:customStyle="1" w:styleId="25">
    <w:name w:val="font21"/>
    <w:basedOn w:val="10"/>
    <w:qFormat/>
    <w:uiPriority w:val="0"/>
    <w:rPr>
      <w:rFonts w:hint="default" w:ascii="Calibri" w:hAnsi="Calibri" w:cs="Calibri"/>
      <w:color w:val="000000"/>
      <w:sz w:val="22"/>
      <w:szCs w:val="22"/>
      <w:u w:val="none"/>
    </w:rPr>
  </w:style>
  <w:style w:type="character" w:customStyle="1" w:styleId="26">
    <w:name w:val="font11"/>
    <w:basedOn w:val="10"/>
    <w:qFormat/>
    <w:uiPriority w:val="0"/>
    <w:rPr>
      <w:rFonts w:hint="eastAsia" w:ascii="宋体" w:hAnsi="宋体" w:eastAsia="宋体" w:cs="宋体"/>
      <w:color w:val="000000"/>
      <w:sz w:val="22"/>
      <w:szCs w:val="22"/>
      <w:u w:val="none"/>
    </w:rPr>
  </w:style>
  <w:style w:type="character" w:customStyle="1" w:styleId="27">
    <w:name w:val="font41"/>
    <w:basedOn w:val="10"/>
    <w:qFormat/>
    <w:uiPriority w:val="0"/>
    <w:rPr>
      <w:rFonts w:hint="default" w:ascii="Calibri" w:hAnsi="Calibri" w:cs="Calibri"/>
      <w:color w:val="000000"/>
      <w:sz w:val="22"/>
      <w:szCs w:val="22"/>
      <w:u w:val="none"/>
    </w:rPr>
  </w:style>
  <w:style w:type="character" w:customStyle="1" w:styleId="28">
    <w:name w:val="font31"/>
    <w:basedOn w:val="10"/>
    <w:qFormat/>
    <w:uiPriority w:val="0"/>
    <w:rPr>
      <w:rFonts w:hint="default" w:ascii="Calibri" w:hAnsi="Calibri" w:cs="Calibri"/>
      <w:color w:val="000000"/>
      <w:sz w:val="18"/>
      <w:szCs w:val="18"/>
      <w:u w:val="none"/>
    </w:rPr>
  </w:style>
  <w:style w:type="paragraph" w:customStyle="1" w:styleId="29">
    <w:name w:val="Body text|4"/>
    <w:basedOn w:val="1"/>
    <w:qFormat/>
    <w:uiPriority w:val="0"/>
    <w:pPr>
      <w:spacing w:after="2100" w:line="624" w:lineRule="exact"/>
      <w:jc w:val="center"/>
    </w:pPr>
    <w:rPr>
      <w:rFonts w:ascii="宋体" w:hAnsi="宋体" w:eastAsia="宋体" w:cs="宋体"/>
      <w:sz w:val="42"/>
      <w:szCs w:val="42"/>
      <w:lang w:val="zh-TW" w:eastAsia="zh-TW" w:bidi="zh-TW"/>
    </w:rPr>
  </w:style>
  <w:style w:type="paragraph" w:customStyle="1" w:styleId="30">
    <w:name w:val="Header or footer|1"/>
    <w:basedOn w:val="1"/>
    <w:qFormat/>
    <w:uiPriority w:val="0"/>
    <w:rPr>
      <w:rFonts w:ascii="宋体" w:hAnsi="宋体" w:eastAsia="宋体" w:cs="宋体"/>
      <w:sz w:val="20"/>
      <w:szCs w:val="20"/>
      <w:lang w:val="zh-TW" w:eastAsia="zh-TW" w:bidi="zh-TW"/>
    </w:rPr>
  </w:style>
  <w:style w:type="paragraph" w:customStyle="1" w:styleId="31">
    <w:name w:val="Body text|3"/>
    <w:basedOn w:val="1"/>
    <w:qFormat/>
    <w:uiPriority w:val="0"/>
    <w:pPr>
      <w:spacing w:after="1080"/>
      <w:jc w:val="center"/>
    </w:pPr>
    <w:rPr>
      <w:rFonts w:ascii="宋体" w:hAnsi="宋体" w:eastAsia="宋体" w:cs="宋体"/>
      <w:i/>
      <w:iCs/>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3B1F9-EF46-4B8C-9F8B-E8FD20F74A7C}">
  <ds:schemaRefs/>
</ds:datastoreItem>
</file>

<file path=docProps/app.xml><?xml version="1.0" encoding="utf-8"?>
<Properties xmlns="http://schemas.openxmlformats.org/officeDocument/2006/extended-properties" xmlns:vt="http://schemas.openxmlformats.org/officeDocument/2006/docPropsVTypes">
  <Template>Normal</Template>
  <Company>ShineWing</Company>
  <Pages>18</Pages>
  <Words>6685</Words>
  <Characters>7008</Characters>
  <Lines>54</Lines>
  <Paragraphs>15</Paragraphs>
  <TotalTime>3</TotalTime>
  <ScaleCrop>false</ScaleCrop>
  <LinksUpToDate>false</LinksUpToDate>
  <CharactersWithSpaces>7402</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2023-03-06T04:58:00Z</dcterms:created>
  <dc:creator>Administrator</dc:creator>
  <cp:lastModifiedBy>杨栩</cp:lastModifiedBy>
  <cp:lastPrinted>2023-03-22T07:21:00Z</cp:lastPrinted>
  <dcterms:modified xsi:type="dcterms:W3CDTF">2023-03-22T07:45:13Z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BF9C1C2D74EA44CCA46964523430EE54</vt:lpwstr>
  </property>
</Properties>
</file>